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273629" w14:textId="77777777" w:rsidR="0002133C" w:rsidRDefault="0002133C">
      <w:pPr>
        <w:pStyle w:val="Textoindependiente"/>
        <w:rPr>
          <w:rFonts w:ascii="Times New Roman"/>
        </w:rPr>
      </w:pPr>
    </w:p>
    <w:p w14:paraId="0B559325" w14:textId="77777777" w:rsidR="0002133C" w:rsidRDefault="0002133C">
      <w:pPr>
        <w:pStyle w:val="Textoindependiente"/>
        <w:spacing w:before="180"/>
        <w:rPr>
          <w:rFonts w:ascii="Times New Roman"/>
        </w:rPr>
      </w:pPr>
    </w:p>
    <w:p w14:paraId="6CFABA85" w14:textId="77777777" w:rsidR="0002133C" w:rsidRDefault="00000000">
      <w:pPr>
        <w:pStyle w:val="Textoindependiente"/>
        <w:ind w:left="830"/>
      </w:pPr>
      <w:r>
        <w:t>Santiago,</w:t>
      </w:r>
      <w:r>
        <w:rPr>
          <w:spacing w:val="-8"/>
        </w:rPr>
        <w:t xml:space="preserve"> </w:t>
      </w:r>
      <w:r>
        <w:t>veintiséis</w:t>
      </w:r>
      <w:r>
        <w:rPr>
          <w:spacing w:val="-5"/>
        </w:rPr>
        <w:t xml:space="preserve"> </w:t>
      </w:r>
      <w:r>
        <w:t>de</w:t>
      </w:r>
      <w:r>
        <w:rPr>
          <w:spacing w:val="-5"/>
        </w:rPr>
        <w:t xml:space="preserve"> </w:t>
      </w:r>
      <w:r>
        <w:t>octubre</w:t>
      </w:r>
      <w:r>
        <w:rPr>
          <w:spacing w:val="-5"/>
        </w:rPr>
        <w:t xml:space="preserve"> </w:t>
      </w:r>
      <w:r>
        <w:t>de</w:t>
      </w:r>
      <w:r>
        <w:rPr>
          <w:spacing w:val="-5"/>
        </w:rPr>
        <w:t xml:space="preserve"> </w:t>
      </w:r>
      <w:r>
        <w:t>dos</w:t>
      </w:r>
      <w:r>
        <w:rPr>
          <w:spacing w:val="-5"/>
        </w:rPr>
        <w:t xml:space="preserve"> </w:t>
      </w:r>
      <w:r>
        <w:t>mil</w:t>
      </w:r>
      <w:r>
        <w:rPr>
          <w:spacing w:val="-5"/>
        </w:rPr>
        <w:t xml:space="preserve"> </w:t>
      </w:r>
      <w:r>
        <w:rPr>
          <w:spacing w:val="-2"/>
        </w:rPr>
        <w:t>veintiséis.</w:t>
      </w:r>
    </w:p>
    <w:p w14:paraId="69D2767A" w14:textId="77777777" w:rsidR="0002133C" w:rsidRDefault="0002133C">
      <w:pPr>
        <w:pStyle w:val="Textoindependiente"/>
      </w:pPr>
    </w:p>
    <w:p w14:paraId="4A181164" w14:textId="77777777" w:rsidR="0002133C" w:rsidRDefault="00000000">
      <w:pPr>
        <w:pStyle w:val="Ttulo"/>
      </w:pPr>
      <w:r>
        <w:t>Vistos</w:t>
      </w:r>
      <w:r>
        <w:rPr>
          <w:spacing w:val="-19"/>
        </w:rPr>
        <w:t xml:space="preserve"> </w:t>
      </w:r>
      <w:r>
        <w:t>y</w:t>
      </w:r>
      <w:r>
        <w:rPr>
          <w:spacing w:val="-17"/>
        </w:rPr>
        <w:t xml:space="preserve"> </w:t>
      </w:r>
      <w:r>
        <w:t>teniendo</w:t>
      </w:r>
      <w:r>
        <w:rPr>
          <w:spacing w:val="-20"/>
        </w:rPr>
        <w:t xml:space="preserve"> </w:t>
      </w:r>
      <w:r>
        <w:rPr>
          <w:spacing w:val="-2"/>
        </w:rPr>
        <w:t>presente:</w:t>
      </w:r>
    </w:p>
    <w:p w14:paraId="186018D3" w14:textId="77777777" w:rsidR="0002133C" w:rsidRDefault="0002133C">
      <w:pPr>
        <w:pStyle w:val="Textoindependiente"/>
        <w:rPr>
          <w:b/>
        </w:rPr>
      </w:pPr>
    </w:p>
    <w:p w14:paraId="39A514EB" w14:textId="77777777" w:rsidR="0002133C" w:rsidRDefault="00000000">
      <w:pPr>
        <w:pStyle w:val="Textoindependiente"/>
        <w:spacing w:line="480" w:lineRule="auto"/>
        <w:ind w:left="830" w:right="1698" w:firstLine="852"/>
        <w:jc w:val="both"/>
      </w:pPr>
      <w:r>
        <w:rPr>
          <w:b/>
        </w:rPr>
        <w:t xml:space="preserve">PRIMERO: </w:t>
      </w:r>
      <w:r>
        <w:t xml:space="preserve">Que, en estos autos, rol de esta Corte Suprema </w:t>
      </w:r>
      <w:proofErr w:type="spellStart"/>
      <w:r>
        <w:t>Nº</w:t>
      </w:r>
      <w:proofErr w:type="spellEnd"/>
      <w:r>
        <w:t xml:space="preserve"> 59.871-2024, caratulados </w:t>
      </w:r>
      <w:r>
        <w:rPr>
          <w:i/>
        </w:rPr>
        <w:t>“</w:t>
      </w:r>
      <w:r w:rsidRPr="00993C7E">
        <w:rPr>
          <w:i/>
          <w:highlight w:val="black"/>
        </w:rPr>
        <w:t>Peña</w:t>
      </w:r>
      <w:r>
        <w:rPr>
          <w:i/>
        </w:rPr>
        <w:t xml:space="preserve"> con Defensoría Penal Pública”</w:t>
      </w:r>
      <w:r>
        <w:t>, juicio ordinario de indemnización de perjuicios por falta de servicio, por sentencia interlocutoria de veintiocho de enero de dos mil veinticuatro la Corte de Apelaciones de Santiago confirmó una resolución de primera instancia, por medio de la cual se declaró el abandono del procedimiento.</w:t>
      </w:r>
    </w:p>
    <w:p w14:paraId="0D20530A" w14:textId="77777777" w:rsidR="0002133C" w:rsidRDefault="00000000">
      <w:pPr>
        <w:pStyle w:val="Textoindependiente"/>
        <w:spacing w:before="2" w:line="480" w:lineRule="auto"/>
        <w:ind w:left="830" w:right="1704" w:firstLine="852"/>
        <w:jc w:val="both"/>
      </w:pPr>
      <w:r>
        <w:t>En contra de dicha sentencia de segundo grado la demandante interpuso recurso de casación en el fondo.</w:t>
      </w:r>
    </w:p>
    <w:p w14:paraId="2C1E6E0B" w14:textId="77777777" w:rsidR="0002133C" w:rsidRDefault="00000000">
      <w:pPr>
        <w:pStyle w:val="Textoindependiente"/>
        <w:spacing w:before="1" w:line="480" w:lineRule="auto"/>
        <w:ind w:left="830" w:right="1702" w:firstLine="852"/>
        <w:jc w:val="both"/>
      </w:pPr>
      <w:r>
        <w:t>Se ordenó traer los autos en relación y se procedió a la vista de dicho recurso.</w:t>
      </w:r>
    </w:p>
    <w:p w14:paraId="26705372" w14:textId="77777777" w:rsidR="0002133C" w:rsidRDefault="00000000">
      <w:pPr>
        <w:pStyle w:val="Textoindependiente"/>
        <w:spacing w:line="480" w:lineRule="auto"/>
        <w:ind w:left="830" w:right="1700" w:firstLine="852"/>
        <w:jc w:val="both"/>
      </w:pPr>
      <w:r>
        <w:rPr>
          <w:b/>
        </w:rPr>
        <w:t xml:space="preserve">SEGUNDO: </w:t>
      </w:r>
      <w:r>
        <w:t>Que en su arbitrio de nulidad sustancial la recurrente denuncia que con el fallo recurrido se infringen los artículos 152, 339 y 432 del Código de Procedimiento Civil.</w:t>
      </w:r>
    </w:p>
    <w:p w14:paraId="3E3DFFC6" w14:textId="77777777" w:rsidR="0002133C" w:rsidRDefault="00000000">
      <w:pPr>
        <w:pStyle w:val="Textoindependiente"/>
        <w:spacing w:before="1" w:line="480" w:lineRule="auto"/>
        <w:ind w:left="830" w:right="1698" w:firstLine="852"/>
        <w:jc w:val="both"/>
      </w:pPr>
      <w:r>
        <w:t>Plantea que el impulso procesal era del tribunal y no de las partes del juicio, porque habiendo recibido la resolución</w:t>
      </w:r>
      <w:r>
        <w:rPr>
          <w:spacing w:val="74"/>
        </w:rPr>
        <w:t xml:space="preserve"> </w:t>
      </w:r>
      <w:r>
        <w:t>de</w:t>
      </w:r>
      <w:r>
        <w:rPr>
          <w:spacing w:val="74"/>
        </w:rPr>
        <w:t xml:space="preserve"> </w:t>
      </w:r>
      <w:r>
        <w:t>la</w:t>
      </w:r>
      <w:r>
        <w:rPr>
          <w:spacing w:val="74"/>
        </w:rPr>
        <w:t xml:space="preserve"> </w:t>
      </w:r>
      <w:r>
        <w:t>Corte</w:t>
      </w:r>
      <w:r>
        <w:rPr>
          <w:spacing w:val="74"/>
        </w:rPr>
        <w:t xml:space="preserve"> </w:t>
      </w:r>
      <w:r>
        <w:t>de</w:t>
      </w:r>
      <w:r>
        <w:rPr>
          <w:spacing w:val="74"/>
        </w:rPr>
        <w:t xml:space="preserve"> </w:t>
      </w:r>
      <w:r>
        <w:t>Apelaciones</w:t>
      </w:r>
      <w:r>
        <w:rPr>
          <w:spacing w:val="74"/>
        </w:rPr>
        <w:t xml:space="preserve"> </w:t>
      </w:r>
      <w:r>
        <w:t>que</w:t>
      </w:r>
      <w:r>
        <w:rPr>
          <w:spacing w:val="74"/>
        </w:rPr>
        <w:t xml:space="preserve"> </w:t>
      </w:r>
      <w:r>
        <w:t>modificó</w:t>
      </w:r>
      <w:r>
        <w:rPr>
          <w:spacing w:val="74"/>
        </w:rPr>
        <w:t xml:space="preserve"> </w:t>
      </w:r>
      <w:r>
        <w:t>el</w:t>
      </w:r>
    </w:p>
    <w:p w14:paraId="6B8A3415" w14:textId="77777777" w:rsidR="0002133C" w:rsidRDefault="0002133C">
      <w:pPr>
        <w:pStyle w:val="Textoindependiente"/>
        <w:spacing w:line="480" w:lineRule="auto"/>
        <w:jc w:val="both"/>
        <w:sectPr w:rsidR="0002133C">
          <w:footerReference w:type="default" r:id="rId6"/>
          <w:type w:val="continuous"/>
          <w:pgSz w:w="12240" w:h="15840"/>
          <w:pgMar w:top="1820" w:right="0" w:bottom="960" w:left="1440" w:header="0" w:footer="720" w:gutter="0"/>
          <w:pgNumType w:start="1"/>
          <w:cols w:space="720"/>
        </w:sectPr>
      </w:pPr>
    </w:p>
    <w:p w14:paraId="2FFCEBB6" w14:textId="77777777" w:rsidR="0002133C" w:rsidRDefault="0002133C">
      <w:pPr>
        <w:pStyle w:val="Textoindependiente"/>
      </w:pPr>
    </w:p>
    <w:p w14:paraId="14EB761E" w14:textId="77777777" w:rsidR="0002133C" w:rsidRDefault="0002133C">
      <w:pPr>
        <w:pStyle w:val="Textoindependiente"/>
        <w:spacing w:before="188"/>
      </w:pPr>
    </w:p>
    <w:p w14:paraId="281F1DF0" w14:textId="77777777" w:rsidR="0002133C" w:rsidRDefault="00000000">
      <w:pPr>
        <w:pStyle w:val="Textoindependiente"/>
        <w:spacing w:line="480" w:lineRule="auto"/>
        <w:ind w:left="830" w:right="1698"/>
        <w:jc w:val="both"/>
      </w:pPr>
      <w:r>
        <w:t>auto de prueba, correspondía dictar el “cúmplase” y disponerse un término especial de prueba, como lo dispone el artículo 339 antes señalado. Añade que, aun de considerarse que no resultaba procedente dictar el cúmplase, este debía citar a las partes a oír sentencia, como lo ordena el artículo 432 del Código de Procedimiento Civil.</w:t>
      </w:r>
    </w:p>
    <w:p w14:paraId="4CCC4D23" w14:textId="77777777" w:rsidR="0002133C" w:rsidRDefault="00000000">
      <w:pPr>
        <w:pStyle w:val="Textoindependiente"/>
        <w:spacing w:before="2" w:line="480" w:lineRule="auto"/>
        <w:ind w:left="830" w:right="1698" w:firstLine="852"/>
        <w:jc w:val="both"/>
      </w:pPr>
      <w:r>
        <w:t>En cuanto al artículo 152 del cuerpo legal ya mencionado, existiría una errada aplicación de él, considerando que la institución de abandono de procedimiento exige que el impulso procesal del juicio se encuentre en las partes y no en el Tribunal, ya que lo que sanciona es la inactividad de las partes del juicio.</w:t>
      </w:r>
    </w:p>
    <w:p w14:paraId="54B82675" w14:textId="77777777" w:rsidR="0002133C" w:rsidRDefault="00000000">
      <w:pPr>
        <w:pStyle w:val="Textoindependiente"/>
        <w:spacing w:before="1" w:line="480" w:lineRule="auto"/>
        <w:ind w:left="830" w:right="1698" w:firstLine="852"/>
        <w:jc w:val="both"/>
      </w:pPr>
      <w:r>
        <w:rPr>
          <w:b/>
        </w:rPr>
        <w:t xml:space="preserve">TERCERO: </w:t>
      </w:r>
      <w:r>
        <w:t xml:space="preserve">Que, conforme consta de lo asentado en la causa, son actuaciones que viene al caso referir, las </w:t>
      </w:r>
      <w:r>
        <w:rPr>
          <w:spacing w:val="-2"/>
        </w:rPr>
        <w:t>siguientes:</w:t>
      </w:r>
    </w:p>
    <w:p w14:paraId="37A8422D" w14:textId="77777777" w:rsidR="0002133C" w:rsidRDefault="00000000">
      <w:pPr>
        <w:pStyle w:val="Textoindependiente"/>
        <w:spacing w:before="1"/>
        <w:ind w:left="1682"/>
        <w:jc w:val="both"/>
      </w:pPr>
      <w:r>
        <w:rPr>
          <w:b/>
        </w:rPr>
        <w:t>1.-</w:t>
      </w:r>
      <w:r>
        <w:rPr>
          <w:b/>
          <w:spacing w:val="1"/>
        </w:rPr>
        <w:t xml:space="preserve"> </w:t>
      </w:r>
      <w:r>
        <w:t>Habiendo</w:t>
      </w:r>
      <w:r>
        <w:rPr>
          <w:spacing w:val="6"/>
        </w:rPr>
        <w:t xml:space="preserve"> </w:t>
      </w:r>
      <w:r>
        <w:t>ya</w:t>
      </w:r>
      <w:r>
        <w:rPr>
          <w:spacing w:val="6"/>
        </w:rPr>
        <w:t xml:space="preserve"> </w:t>
      </w:r>
      <w:r>
        <w:t>concluido</w:t>
      </w:r>
      <w:r>
        <w:rPr>
          <w:spacing w:val="5"/>
        </w:rPr>
        <w:t xml:space="preserve"> </w:t>
      </w:r>
      <w:r>
        <w:t>el</w:t>
      </w:r>
      <w:r>
        <w:rPr>
          <w:spacing w:val="6"/>
        </w:rPr>
        <w:t xml:space="preserve"> </w:t>
      </w:r>
      <w:r>
        <w:t>término</w:t>
      </w:r>
      <w:r>
        <w:rPr>
          <w:spacing w:val="6"/>
        </w:rPr>
        <w:t xml:space="preserve"> </w:t>
      </w:r>
      <w:r>
        <w:t>probatorio,</w:t>
      </w:r>
      <w:r>
        <w:rPr>
          <w:spacing w:val="6"/>
        </w:rPr>
        <w:t xml:space="preserve"> </w:t>
      </w:r>
      <w:r>
        <w:rPr>
          <w:spacing w:val="-5"/>
        </w:rPr>
        <w:t>el</w:t>
      </w:r>
    </w:p>
    <w:p w14:paraId="4CFF92DC" w14:textId="77777777" w:rsidR="0002133C" w:rsidRDefault="0002133C">
      <w:pPr>
        <w:pStyle w:val="Textoindependiente"/>
      </w:pPr>
    </w:p>
    <w:p w14:paraId="03B1EBF3" w14:textId="77777777" w:rsidR="0002133C" w:rsidRDefault="00000000">
      <w:pPr>
        <w:pStyle w:val="Textoindependiente"/>
        <w:spacing w:line="480" w:lineRule="auto"/>
        <w:ind w:left="830" w:right="1699"/>
        <w:jc w:val="both"/>
      </w:pPr>
      <w:r>
        <w:t xml:space="preserve">18 de agosto de 2023 el tribunal ingresa la resolución dictada el 21 de julio de 2023 por la Corte de </w:t>
      </w:r>
      <w:proofErr w:type="gramStart"/>
      <w:r>
        <w:t>Apelaciones</w:t>
      </w:r>
      <w:r>
        <w:rPr>
          <w:spacing w:val="25"/>
        </w:rPr>
        <w:t xml:space="preserve">  </w:t>
      </w:r>
      <w:r>
        <w:t>de</w:t>
      </w:r>
      <w:proofErr w:type="gramEnd"/>
      <w:r>
        <w:rPr>
          <w:spacing w:val="25"/>
        </w:rPr>
        <w:t xml:space="preserve">  </w:t>
      </w:r>
      <w:r>
        <w:t>Santiago,</w:t>
      </w:r>
      <w:r>
        <w:rPr>
          <w:spacing w:val="25"/>
        </w:rPr>
        <w:t xml:space="preserve">  </w:t>
      </w:r>
      <w:r>
        <w:t>que</w:t>
      </w:r>
      <w:r>
        <w:rPr>
          <w:spacing w:val="25"/>
        </w:rPr>
        <w:t xml:space="preserve">  </w:t>
      </w:r>
      <w:r>
        <w:t>acogió</w:t>
      </w:r>
      <w:r>
        <w:rPr>
          <w:spacing w:val="25"/>
        </w:rPr>
        <w:t xml:space="preserve">  </w:t>
      </w:r>
      <w:r>
        <w:t>una</w:t>
      </w:r>
      <w:r>
        <w:rPr>
          <w:spacing w:val="25"/>
        </w:rPr>
        <w:t xml:space="preserve">  </w:t>
      </w:r>
      <w:r>
        <w:t>apelación</w:t>
      </w:r>
    </w:p>
    <w:p w14:paraId="5BB57D93" w14:textId="77777777" w:rsidR="0002133C" w:rsidRDefault="0002133C">
      <w:pPr>
        <w:pStyle w:val="Textoindependiente"/>
        <w:spacing w:line="480" w:lineRule="auto"/>
        <w:jc w:val="both"/>
        <w:sectPr w:rsidR="0002133C">
          <w:pgSz w:w="12240" w:h="15840"/>
          <w:pgMar w:top="1820" w:right="0" w:bottom="960" w:left="1440" w:header="0" w:footer="720" w:gutter="0"/>
          <w:cols w:space="720"/>
        </w:sectPr>
      </w:pPr>
    </w:p>
    <w:p w14:paraId="5C9F685C" w14:textId="77777777" w:rsidR="0002133C" w:rsidRDefault="0002133C">
      <w:pPr>
        <w:pStyle w:val="Textoindependiente"/>
      </w:pPr>
    </w:p>
    <w:p w14:paraId="6A738A34" w14:textId="77777777" w:rsidR="0002133C" w:rsidRDefault="0002133C">
      <w:pPr>
        <w:pStyle w:val="Textoindependiente"/>
        <w:spacing w:before="188"/>
      </w:pPr>
    </w:p>
    <w:p w14:paraId="6D89E599" w14:textId="77777777" w:rsidR="0002133C" w:rsidRDefault="00000000">
      <w:pPr>
        <w:pStyle w:val="Textoindependiente"/>
        <w:ind w:left="830"/>
      </w:pPr>
      <w:r>
        <w:t>presentada</w:t>
      </w:r>
      <w:r>
        <w:rPr>
          <w:spacing w:val="18"/>
        </w:rPr>
        <w:t xml:space="preserve"> </w:t>
      </w:r>
      <w:r>
        <w:t>contra</w:t>
      </w:r>
      <w:r>
        <w:rPr>
          <w:spacing w:val="21"/>
        </w:rPr>
        <w:t xml:space="preserve"> </w:t>
      </w:r>
      <w:r>
        <w:t>el</w:t>
      </w:r>
      <w:r>
        <w:rPr>
          <w:spacing w:val="20"/>
        </w:rPr>
        <w:t xml:space="preserve"> </w:t>
      </w:r>
      <w:r>
        <w:t>auto</w:t>
      </w:r>
      <w:r>
        <w:rPr>
          <w:spacing w:val="21"/>
        </w:rPr>
        <w:t xml:space="preserve"> </w:t>
      </w:r>
      <w:r>
        <w:t>de</w:t>
      </w:r>
      <w:r>
        <w:rPr>
          <w:spacing w:val="21"/>
        </w:rPr>
        <w:t xml:space="preserve"> </w:t>
      </w:r>
      <w:r>
        <w:t>prueba,</w:t>
      </w:r>
      <w:r>
        <w:rPr>
          <w:spacing w:val="20"/>
        </w:rPr>
        <w:t xml:space="preserve"> </w:t>
      </w:r>
      <w:r>
        <w:t>eliminando</w:t>
      </w:r>
      <w:r>
        <w:rPr>
          <w:spacing w:val="21"/>
        </w:rPr>
        <w:t xml:space="preserve"> </w:t>
      </w:r>
      <w:r>
        <w:t>el</w:t>
      </w:r>
      <w:r>
        <w:rPr>
          <w:spacing w:val="21"/>
        </w:rPr>
        <w:t xml:space="preserve"> </w:t>
      </w:r>
      <w:r>
        <w:rPr>
          <w:spacing w:val="-2"/>
        </w:rPr>
        <w:t>punto</w:t>
      </w:r>
    </w:p>
    <w:p w14:paraId="5E3A1052" w14:textId="77777777" w:rsidR="0002133C" w:rsidRDefault="0002133C">
      <w:pPr>
        <w:pStyle w:val="Textoindependiente"/>
      </w:pPr>
    </w:p>
    <w:p w14:paraId="74910FCC" w14:textId="77777777" w:rsidR="0002133C" w:rsidRDefault="00000000">
      <w:pPr>
        <w:pStyle w:val="Textoindependiente"/>
        <w:ind w:left="830"/>
      </w:pPr>
      <w:r>
        <w:t>2</w:t>
      </w:r>
      <w:r>
        <w:rPr>
          <w:spacing w:val="-2"/>
        </w:rPr>
        <w:t xml:space="preserve"> </w:t>
      </w:r>
      <w:r>
        <w:t>de</w:t>
      </w:r>
      <w:r>
        <w:rPr>
          <w:spacing w:val="-1"/>
        </w:rPr>
        <w:t xml:space="preserve"> </w:t>
      </w:r>
      <w:r>
        <w:rPr>
          <w:spacing w:val="-2"/>
        </w:rPr>
        <w:t>aquél.</w:t>
      </w:r>
    </w:p>
    <w:p w14:paraId="7C180888" w14:textId="77777777" w:rsidR="0002133C" w:rsidRDefault="0002133C">
      <w:pPr>
        <w:pStyle w:val="Textoindependiente"/>
      </w:pPr>
    </w:p>
    <w:p w14:paraId="410C3A53" w14:textId="77777777" w:rsidR="0002133C" w:rsidRDefault="00000000">
      <w:pPr>
        <w:pStyle w:val="Textoindependiente"/>
        <w:spacing w:before="1" w:line="480" w:lineRule="auto"/>
        <w:ind w:left="830" w:right="1702" w:firstLine="852"/>
        <w:jc w:val="both"/>
      </w:pPr>
      <w:r>
        <w:rPr>
          <w:b/>
        </w:rPr>
        <w:t xml:space="preserve">2.- </w:t>
      </w:r>
      <w:r>
        <w:t xml:space="preserve">El 21 de agosto de 2023 se provee “A sus </w:t>
      </w:r>
      <w:r>
        <w:rPr>
          <w:spacing w:val="-2"/>
        </w:rPr>
        <w:t>autos”.</w:t>
      </w:r>
    </w:p>
    <w:p w14:paraId="0D2651CE" w14:textId="77777777" w:rsidR="0002133C" w:rsidRDefault="00000000">
      <w:pPr>
        <w:pStyle w:val="Textoindependiente"/>
        <w:spacing w:line="480" w:lineRule="auto"/>
        <w:ind w:left="830" w:right="1701" w:firstLine="852"/>
        <w:jc w:val="both"/>
      </w:pPr>
      <w:r>
        <w:rPr>
          <w:b/>
        </w:rPr>
        <w:t xml:space="preserve">3.- </w:t>
      </w:r>
      <w:r>
        <w:t>El 13 de octubre de 2023 el 2° Juzgado de Letras de Iquique dicta una resolución en Exhorto N°833-2023, relativo a esta causa, en que ordena devolverlo, atendido el tiempo transcurrido y que no se continuó con su diligenciamiento.</w:t>
      </w:r>
    </w:p>
    <w:p w14:paraId="121D0289" w14:textId="77777777" w:rsidR="0002133C" w:rsidRDefault="00000000">
      <w:pPr>
        <w:pStyle w:val="Textoindependiente"/>
        <w:spacing w:before="1" w:line="480" w:lineRule="auto"/>
        <w:ind w:left="830" w:right="1703" w:firstLine="852"/>
        <w:jc w:val="both"/>
      </w:pPr>
      <w:r>
        <w:rPr>
          <w:b/>
        </w:rPr>
        <w:t>4.-</w:t>
      </w:r>
      <w:r>
        <w:rPr>
          <w:b/>
          <w:spacing w:val="-1"/>
        </w:rPr>
        <w:t xml:space="preserve"> </w:t>
      </w:r>
      <w:r>
        <w:t>El 17 de octubre de 2023 el tribunal proveyó lo anterior “A sus autos”.</w:t>
      </w:r>
    </w:p>
    <w:p w14:paraId="7DF70C2B" w14:textId="77777777" w:rsidR="0002133C" w:rsidRDefault="00000000">
      <w:pPr>
        <w:pStyle w:val="Textoindependiente"/>
        <w:spacing w:before="1" w:line="480" w:lineRule="auto"/>
        <w:ind w:left="830" w:right="1704" w:firstLine="852"/>
        <w:jc w:val="both"/>
      </w:pPr>
      <w:r>
        <w:rPr>
          <w:b/>
        </w:rPr>
        <w:t xml:space="preserve">5.- </w:t>
      </w:r>
      <w:r>
        <w:t>El 19 de abril de 2024 el demandado interpone incidente de abandono de procedimiento.</w:t>
      </w:r>
    </w:p>
    <w:p w14:paraId="099ADBFD" w14:textId="77777777" w:rsidR="0002133C" w:rsidRDefault="00000000">
      <w:pPr>
        <w:pStyle w:val="Textoindependiente"/>
        <w:spacing w:line="480" w:lineRule="auto"/>
        <w:ind w:left="830" w:right="1698" w:firstLine="852"/>
        <w:jc w:val="both"/>
      </w:pPr>
      <w:r>
        <w:rPr>
          <w:b/>
        </w:rPr>
        <w:t xml:space="preserve">CUARTO: </w:t>
      </w:r>
      <w:r>
        <w:t xml:space="preserve">Que en el fallo impugnado se acogió el incidente de abandono del procedimiento fundado en que el </w:t>
      </w:r>
      <w:proofErr w:type="spellStart"/>
      <w:r>
        <w:t>articulo</w:t>
      </w:r>
      <w:proofErr w:type="spellEnd"/>
      <w:r>
        <w:t xml:space="preserve"> 339 del Código de Procedimiento Civil no resulta aplicable al presente caso, toda vez que la decisión de la Corte de Apelaciones de Santiago fue eliminar un punto de prueba, por lo que no procede rendir nueva prueba en el juicio. Luego, que siendo la última resolución recaída en gestión útil la del 14 de octubre de 2023, después de</w:t>
      </w:r>
    </w:p>
    <w:p w14:paraId="14F630E2" w14:textId="77777777" w:rsidR="0002133C" w:rsidRDefault="0002133C">
      <w:pPr>
        <w:pStyle w:val="Textoindependiente"/>
        <w:spacing w:line="480" w:lineRule="auto"/>
        <w:jc w:val="both"/>
        <w:sectPr w:rsidR="0002133C">
          <w:pgSz w:w="12240" w:h="15840"/>
          <w:pgMar w:top="1820" w:right="0" w:bottom="960" w:left="1440" w:header="0" w:footer="720" w:gutter="0"/>
          <w:cols w:space="720"/>
        </w:sectPr>
      </w:pPr>
    </w:p>
    <w:p w14:paraId="43BE1BE1" w14:textId="77777777" w:rsidR="0002133C" w:rsidRDefault="0002133C">
      <w:pPr>
        <w:pStyle w:val="Textoindependiente"/>
      </w:pPr>
    </w:p>
    <w:p w14:paraId="6F404F0B" w14:textId="77777777" w:rsidR="0002133C" w:rsidRDefault="0002133C">
      <w:pPr>
        <w:pStyle w:val="Textoindependiente"/>
        <w:spacing w:before="188"/>
      </w:pPr>
    </w:p>
    <w:p w14:paraId="11253DB4" w14:textId="77777777" w:rsidR="0002133C" w:rsidRDefault="00000000">
      <w:pPr>
        <w:pStyle w:val="Textoindependiente"/>
        <w:spacing w:line="480" w:lineRule="auto"/>
        <w:ind w:left="830" w:right="1698"/>
        <w:jc w:val="both"/>
      </w:pPr>
      <w:r>
        <w:t>lo cual pasaron más de 6 meses hasta la presentación del incidente de abandono de procedimiento, ocurrido el 19 de abril de 2024, se cumplen los requisitos legales para declarar el abandono del procedimiento.</w:t>
      </w:r>
    </w:p>
    <w:p w14:paraId="5CBCDAA9" w14:textId="77777777" w:rsidR="0002133C" w:rsidRDefault="00000000">
      <w:pPr>
        <w:pStyle w:val="Textoindependiente"/>
        <w:spacing w:before="1" w:line="480" w:lineRule="auto"/>
        <w:ind w:left="830" w:right="1701" w:firstLine="852"/>
        <w:jc w:val="both"/>
      </w:pPr>
      <w:r>
        <w:t>En este punto es necesario consignar que yerra el tribunal con la fecha de la última resolución recaída en gestión útil, pues data del día 17 del mes de octubre de 2023, y no el día 14, lo que en todo caso no influye en el razonamiento que se hará a continuación.</w:t>
      </w:r>
    </w:p>
    <w:p w14:paraId="541D6F0B" w14:textId="77777777" w:rsidR="0002133C" w:rsidRDefault="00000000">
      <w:pPr>
        <w:pStyle w:val="Textoindependiente"/>
        <w:spacing w:before="1" w:line="480" w:lineRule="auto"/>
        <w:ind w:left="830" w:right="1698" w:firstLine="852"/>
        <w:jc w:val="both"/>
      </w:pPr>
      <w:r>
        <w:rPr>
          <w:b/>
        </w:rPr>
        <w:t xml:space="preserve">QUINTO: </w:t>
      </w:r>
      <w:r>
        <w:t>Que lo primero a señalar, es que tal como lo indicó el fallo recurrido, el artículo 339 del Código de Procedimiento Civil no resulta aplicable en la especie, toda vez que en su inciso cuarto refiere la apertura de un término especial de prueba en el caso que se acoja la apelación subsidiaria del artículo 319 del ya señalado cuerpo legal, lo que necesariamente sólo dice relación con aquellos casos en que se incorpore un nuevo punto de prueba o se modifique alguno, pero no en un caso como el presente, en que se eliminó un punto de la interlocutoria de prueba, toda vez que es posible colegir que</w:t>
      </w:r>
      <w:r>
        <w:rPr>
          <w:spacing w:val="38"/>
        </w:rPr>
        <w:t xml:space="preserve"> </w:t>
      </w:r>
      <w:r>
        <w:t>la</w:t>
      </w:r>
      <w:r>
        <w:rPr>
          <w:spacing w:val="38"/>
        </w:rPr>
        <w:t xml:space="preserve"> </w:t>
      </w:r>
      <w:r>
        <w:t>prueba</w:t>
      </w:r>
      <w:r>
        <w:rPr>
          <w:spacing w:val="38"/>
        </w:rPr>
        <w:t xml:space="preserve"> </w:t>
      </w:r>
      <w:r>
        <w:t>rendida</w:t>
      </w:r>
      <w:r>
        <w:rPr>
          <w:spacing w:val="38"/>
        </w:rPr>
        <w:t xml:space="preserve"> </w:t>
      </w:r>
      <w:r>
        <w:t>durante</w:t>
      </w:r>
      <w:r>
        <w:rPr>
          <w:spacing w:val="38"/>
        </w:rPr>
        <w:t xml:space="preserve"> </w:t>
      </w:r>
      <w:r>
        <w:t>el</w:t>
      </w:r>
      <w:r>
        <w:rPr>
          <w:spacing w:val="38"/>
        </w:rPr>
        <w:t xml:space="preserve"> </w:t>
      </w:r>
      <w:r>
        <w:t>término</w:t>
      </w:r>
      <w:r>
        <w:rPr>
          <w:spacing w:val="38"/>
        </w:rPr>
        <w:t xml:space="preserve"> </w:t>
      </w:r>
      <w:r>
        <w:t>probatorio,</w:t>
      </w:r>
      <w:r>
        <w:rPr>
          <w:spacing w:val="38"/>
        </w:rPr>
        <w:t xml:space="preserve"> </w:t>
      </w:r>
      <w:r>
        <w:t>ya</w:t>
      </w:r>
    </w:p>
    <w:p w14:paraId="0839D72F" w14:textId="77777777" w:rsidR="0002133C" w:rsidRDefault="0002133C">
      <w:pPr>
        <w:pStyle w:val="Textoindependiente"/>
        <w:spacing w:line="480" w:lineRule="auto"/>
        <w:jc w:val="both"/>
        <w:sectPr w:rsidR="0002133C">
          <w:pgSz w:w="12240" w:h="15840"/>
          <w:pgMar w:top="1820" w:right="0" w:bottom="960" w:left="1440" w:header="0" w:footer="720" w:gutter="0"/>
          <w:cols w:space="720"/>
        </w:sectPr>
      </w:pPr>
    </w:p>
    <w:p w14:paraId="2E00E5EA" w14:textId="77777777" w:rsidR="0002133C" w:rsidRDefault="0002133C">
      <w:pPr>
        <w:pStyle w:val="Textoindependiente"/>
      </w:pPr>
    </w:p>
    <w:p w14:paraId="7381128E" w14:textId="77777777" w:rsidR="0002133C" w:rsidRDefault="0002133C">
      <w:pPr>
        <w:pStyle w:val="Textoindependiente"/>
        <w:spacing w:before="188"/>
      </w:pPr>
    </w:p>
    <w:p w14:paraId="39B1B58A" w14:textId="77777777" w:rsidR="0002133C" w:rsidRDefault="00000000">
      <w:pPr>
        <w:pStyle w:val="Textoindependiente"/>
        <w:spacing w:line="480" w:lineRule="auto"/>
        <w:ind w:left="830" w:right="1699"/>
        <w:jc w:val="both"/>
      </w:pPr>
      <w:r>
        <w:t>concluido, se refirió a los puntos de prueba que se mantuvieron, no siendo necesario rendir prueba adicional o nueva.</w:t>
      </w:r>
    </w:p>
    <w:p w14:paraId="718E54F5" w14:textId="77777777" w:rsidR="0002133C" w:rsidRDefault="00000000">
      <w:pPr>
        <w:pStyle w:val="Textoindependiente"/>
        <w:spacing w:before="1"/>
        <w:ind w:left="1682"/>
        <w:jc w:val="both"/>
      </w:pPr>
      <w:r>
        <w:rPr>
          <w:b/>
        </w:rPr>
        <w:t>SEXTO:</w:t>
      </w:r>
      <w:r>
        <w:rPr>
          <w:b/>
          <w:spacing w:val="24"/>
        </w:rPr>
        <w:t xml:space="preserve"> </w:t>
      </w:r>
      <w:r>
        <w:t>Que,</w:t>
      </w:r>
      <w:r>
        <w:rPr>
          <w:spacing w:val="33"/>
        </w:rPr>
        <w:t xml:space="preserve"> </w:t>
      </w:r>
      <w:r>
        <w:t>en</w:t>
      </w:r>
      <w:r>
        <w:rPr>
          <w:spacing w:val="33"/>
        </w:rPr>
        <w:t xml:space="preserve"> </w:t>
      </w:r>
      <w:r>
        <w:t>seguida,</w:t>
      </w:r>
      <w:r>
        <w:rPr>
          <w:spacing w:val="32"/>
        </w:rPr>
        <w:t xml:space="preserve"> </w:t>
      </w:r>
      <w:r>
        <w:t>resulta</w:t>
      </w:r>
      <w:r>
        <w:rPr>
          <w:spacing w:val="33"/>
        </w:rPr>
        <w:t xml:space="preserve"> </w:t>
      </w:r>
      <w:r>
        <w:t>relevante</w:t>
      </w:r>
      <w:r>
        <w:rPr>
          <w:spacing w:val="33"/>
        </w:rPr>
        <w:t xml:space="preserve"> </w:t>
      </w:r>
      <w:r>
        <w:rPr>
          <w:spacing w:val="-2"/>
        </w:rPr>
        <w:t>subrayar</w:t>
      </w:r>
    </w:p>
    <w:p w14:paraId="7C5E356F" w14:textId="77777777" w:rsidR="0002133C" w:rsidRDefault="0002133C">
      <w:pPr>
        <w:pStyle w:val="Textoindependiente"/>
      </w:pPr>
    </w:p>
    <w:p w14:paraId="4534DC09" w14:textId="77777777" w:rsidR="0002133C" w:rsidRDefault="00000000">
      <w:pPr>
        <w:pStyle w:val="Textoindependiente"/>
        <w:spacing w:line="480" w:lineRule="auto"/>
        <w:ind w:left="830" w:right="1696"/>
        <w:jc w:val="both"/>
      </w:pPr>
      <w:r>
        <w:t xml:space="preserve">-en lo atingente- el tenor del artículo 152 del Código de Procedimiento Civil, conforme al cual el instituto del abandono del procedimiento se torna aplicable cuando </w:t>
      </w:r>
      <w:r>
        <w:rPr>
          <w:i/>
        </w:rPr>
        <w:t xml:space="preserve">“todas las partes cesan en su prosecución” </w:t>
      </w:r>
      <w:r>
        <w:t>por el término señalado al efecto. Por consiguiente, la previsión legal se presenta suficientemente elocuente e indicativa de que la proactividad necesaria recae primariamente en las partes y, en particular, en el demandante, de momento que ha sido éste quien ha promovido y requerido la intervención de la autoridad jurisdiccional.</w:t>
      </w:r>
    </w:p>
    <w:p w14:paraId="17EA10BA" w14:textId="77777777" w:rsidR="0002133C" w:rsidRDefault="00000000">
      <w:pPr>
        <w:pStyle w:val="Textoindependiente"/>
        <w:spacing w:before="3" w:line="480" w:lineRule="auto"/>
        <w:ind w:left="830" w:right="1699" w:firstLine="852"/>
        <w:jc w:val="both"/>
      </w:pPr>
      <w:r>
        <w:rPr>
          <w:b/>
        </w:rPr>
        <w:t xml:space="preserve">SEPTIMO: </w:t>
      </w:r>
      <w:r>
        <w:t>Que, en la especie, como ha quedado reseñado precedentemente, los argumentos en que el recurrente apoya su impugnación se dirigen a relevar que el “impulso procesal”, o sea, la carga o deber de hacer que el proceso avance recaía en el tribunal y no en las partes, particularmente en el demandante, porque era el órgano</w:t>
      </w:r>
      <w:r>
        <w:rPr>
          <w:spacing w:val="40"/>
        </w:rPr>
        <w:t xml:space="preserve"> </w:t>
      </w:r>
      <w:r>
        <w:t>jurisdiccional</w:t>
      </w:r>
      <w:r>
        <w:rPr>
          <w:spacing w:val="40"/>
        </w:rPr>
        <w:t xml:space="preserve"> </w:t>
      </w:r>
      <w:r>
        <w:t>el</w:t>
      </w:r>
      <w:r>
        <w:rPr>
          <w:spacing w:val="40"/>
        </w:rPr>
        <w:t xml:space="preserve"> </w:t>
      </w:r>
      <w:r>
        <w:t>que</w:t>
      </w:r>
      <w:r>
        <w:rPr>
          <w:spacing w:val="40"/>
        </w:rPr>
        <w:t xml:space="preserve"> </w:t>
      </w:r>
      <w:r>
        <w:t>debía</w:t>
      </w:r>
      <w:r>
        <w:rPr>
          <w:spacing w:val="40"/>
        </w:rPr>
        <w:t xml:space="preserve"> </w:t>
      </w:r>
      <w:r>
        <w:t>dictar</w:t>
      </w:r>
      <w:r>
        <w:rPr>
          <w:spacing w:val="40"/>
        </w:rPr>
        <w:t xml:space="preserve"> </w:t>
      </w:r>
      <w:r>
        <w:t>la</w:t>
      </w:r>
      <w:r>
        <w:rPr>
          <w:spacing w:val="40"/>
        </w:rPr>
        <w:t xml:space="preserve"> </w:t>
      </w:r>
      <w:r>
        <w:t>resolución</w:t>
      </w:r>
    </w:p>
    <w:p w14:paraId="09905FAE" w14:textId="77777777" w:rsidR="0002133C" w:rsidRDefault="0002133C">
      <w:pPr>
        <w:pStyle w:val="Textoindependiente"/>
        <w:spacing w:line="480" w:lineRule="auto"/>
        <w:jc w:val="both"/>
        <w:sectPr w:rsidR="0002133C">
          <w:pgSz w:w="12240" w:h="15840"/>
          <w:pgMar w:top="1820" w:right="0" w:bottom="960" w:left="1440" w:header="0" w:footer="720" w:gutter="0"/>
          <w:cols w:space="720"/>
        </w:sectPr>
      </w:pPr>
    </w:p>
    <w:p w14:paraId="02B33ADB" w14:textId="77777777" w:rsidR="0002133C" w:rsidRDefault="0002133C">
      <w:pPr>
        <w:pStyle w:val="Textoindependiente"/>
      </w:pPr>
    </w:p>
    <w:p w14:paraId="30E59038" w14:textId="77777777" w:rsidR="0002133C" w:rsidRDefault="0002133C">
      <w:pPr>
        <w:pStyle w:val="Textoindependiente"/>
        <w:spacing w:before="188"/>
      </w:pPr>
    </w:p>
    <w:p w14:paraId="71DA71B6" w14:textId="77777777" w:rsidR="0002133C" w:rsidRDefault="00000000">
      <w:pPr>
        <w:pStyle w:val="Textoindependiente"/>
        <w:spacing w:line="480" w:lineRule="auto"/>
        <w:ind w:left="830" w:right="1698"/>
        <w:jc w:val="both"/>
      </w:pPr>
      <w:r>
        <w:t>que manda cumplir aquella otra pronunciada por la Corte de Santiago que modificó el auto de prueba y debía disponer la apertura de un término especial de prueba – alegación que ya fue descartada- o, en subsidio de aquello, debía citar a las partes a oír sentencia.</w:t>
      </w:r>
    </w:p>
    <w:p w14:paraId="64493AE4" w14:textId="77777777" w:rsidR="0002133C" w:rsidRDefault="00000000">
      <w:pPr>
        <w:pStyle w:val="Textoindependiente"/>
        <w:spacing w:before="1" w:line="480" w:lineRule="auto"/>
        <w:ind w:left="830" w:right="1698" w:firstLine="852"/>
        <w:jc w:val="both"/>
      </w:pPr>
      <w:r>
        <w:t>Sin embargo, la tesis del recurrente tropieza con el propio artículo 152 del Código de Procedimiento Civil, de cuyo texto y sentido se colige que el imperativo de procurar la progresión de la causa recae en los litigantes. Esto que se esboza es ratificado y resulta también coherente con la regla general del artículo 10 del Código Orgánico de Tribunales conforme al cual los tribunales no pueden ejercer su ministerio sino a petición de parte, salvo en los casos en que la ley los faculte para proceder de oficio. En suma, en asuntos de esta índole rige el impulso de parte, a menos que la ley haya consagrado una norma de oficialidad, como acontece en procedimientos de otra clase, disposición que no existe en estas materias.</w:t>
      </w:r>
    </w:p>
    <w:p w14:paraId="68652CB2" w14:textId="77777777" w:rsidR="0002133C" w:rsidRDefault="00000000">
      <w:pPr>
        <w:pStyle w:val="Textoindependiente"/>
        <w:spacing w:before="4" w:line="480" w:lineRule="auto"/>
        <w:ind w:left="830" w:right="1698" w:firstLine="852"/>
        <w:jc w:val="both"/>
      </w:pPr>
      <w:r>
        <w:rPr>
          <w:b/>
        </w:rPr>
        <w:t>OCTAVO</w:t>
      </w:r>
      <w:r>
        <w:t>: Que de lo indicado se deduce que la circunstancia de que el tribunal hubiera debido dictar el</w:t>
      </w:r>
    </w:p>
    <w:p w14:paraId="0C7089C6" w14:textId="77777777" w:rsidR="0002133C" w:rsidRDefault="0002133C">
      <w:pPr>
        <w:pStyle w:val="Textoindependiente"/>
        <w:spacing w:line="480" w:lineRule="auto"/>
        <w:jc w:val="both"/>
        <w:sectPr w:rsidR="0002133C">
          <w:pgSz w:w="12240" w:h="15840"/>
          <w:pgMar w:top="1820" w:right="0" w:bottom="960" w:left="1440" w:header="0" w:footer="720" w:gutter="0"/>
          <w:cols w:space="720"/>
        </w:sectPr>
      </w:pPr>
    </w:p>
    <w:p w14:paraId="546233FD" w14:textId="77777777" w:rsidR="0002133C" w:rsidRDefault="0002133C">
      <w:pPr>
        <w:pStyle w:val="Textoindependiente"/>
      </w:pPr>
    </w:p>
    <w:p w14:paraId="5671608D" w14:textId="77777777" w:rsidR="0002133C" w:rsidRDefault="0002133C">
      <w:pPr>
        <w:pStyle w:val="Textoindependiente"/>
        <w:spacing w:before="188"/>
      </w:pPr>
    </w:p>
    <w:p w14:paraId="5691F3C9" w14:textId="77777777" w:rsidR="0002133C" w:rsidRDefault="00000000">
      <w:pPr>
        <w:pStyle w:val="Textoindependiente"/>
        <w:spacing w:line="480" w:lineRule="auto"/>
        <w:ind w:left="830" w:right="1698"/>
        <w:jc w:val="both"/>
      </w:pPr>
      <w:r>
        <w:t>“cúmplase” de la resolución dictada por la Corte de Apelaciones en que acogió un recurso de apelación presentado contra el auto de prueba, o bien, que concluido el término probatorio hubiera debido citar a las partes a oír sentencia, no excluye la carga que recae en las partes en orden a requerir al tribunal el avance del proceso, solicitando se disponga lo que sea pertinente al estado procesal del juicio, menos todavía si los litigantes y, especialmente el actor, dejaron transcurrir más de 6 meses de inactividad hasta que la parte demandada interpusiera el incidente de abandono de procedimiento. Ese período de dejadez excede, con creces, el</w:t>
      </w:r>
      <w:r>
        <w:rPr>
          <w:spacing w:val="35"/>
        </w:rPr>
        <w:t xml:space="preserve"> </w:t>
      </w:r>
      <w:r>
        <w:t>plazo</w:t>
      </w:r>
      <w:r>
        <w:rPr>
          <w:spacing w:val="33"/>
        </w:rPr>
        <w:t xml:space="preserve"> </w:t>
      </w:r>
      <w:r>
        <w:t>de</w:t>
      </w:r>
      <w:r>
        <w:rPr>
          <w:spacing w:val="35"/>
        </w:rPr>
        <w:t xml:space="preserve"> </w:t>
      </w:r>
      <w:r>
        <w:t>seis</w:t>
      </w:r>
      <w:r>
        <w:rPr>
          <w:spacing w:val="33"/>
        </w:rPr>
        <w:t xml:space="preserve"> </w:t>
      </w:r>
      <w:r>
        <w:t>meses</w:t>
      </w:r>
      <w:r>
        <w:rPr>
          <w:spacing w:val="35"/>
        </w:rPr>
        <w:t xml:space="preserve"> </w:t>
      </w:r>
      <w:r>
        <w:t>que</w:t>
      </w:r>
      <w:r>
        <w:rPr>
          <w:spacing w:val="33"/>
        </w:rPr>
        <w:t xml:space="preserve"> </w:t>
      </w:r>
      <w:r>
        <w:t>contempla</w:t>
      </w:r>
      <w:r>
        <w:rPr>
          <w:spacing w:val="35"/>
        </w:rPr>
        <w:t xml:space="preserve"> </w:t>
      </w:r>
      <w:r>
        <w:t>el</w:t>
      </w:r>
      <w:r>
        <w:rPr>
          <w:spacing w:val="33"/>
        </w:rPr>
        <w:t xml:space="preserve"> </w:t>
      </w:r>
      <w:r>
        <w:t>citado</w:t>
      </w:r>
      <w:r>
        <w:rPr>
          <w:spacing w:val="35"/>
        </w:rPr>
        <w:t xml:space="preserve"> </w:t>
      </w:r>
      <w:r>
        <w:t>artículo</w:t>
      </w:r>
    </w:p>
    <w:p w14:paraId="38425BCF" w14:textId="77777777" w:rsidR="0002133C" w:rsidRDefault="00000000">
      <w:pPr>
        <w:pStyle w:val="Textoindependiente"/>
        <w:spacing w:before="3" w:line="480" w:lineRule="auto"/>
        <w:ind w:left="830" w:right="1700"/>
        <w:jc w:val="both"/>
      </w:pPr>
      <w:r>
        <w:t xml:space="preserve">152 del Código de Procedimiento Civil, como condición necesaria para la declaración del abandono del </w:t>
      </w:r>
      <w:r>
        <w:rPr>
          <w:spacing w:val="-2"/>
        </w:rPr>
        <w:t>procedimiento.</w:t>
      </w:r>
    </w:p>
    <w:p w14:paraId="64C8DC5A" w14:textId="77777777" w:rsidR="0002133C" w:rsidRDefault="00000000">
      <w:pPr>
        <w:pStyle w:val="Textoindependiente"/>
        <w:spacing w:before="1" w:line="480" w:lineRule="auto"/>
        <w:ind w:left="830" w:right="1699" w:firstLine="852"/>
        <w:jc w:val="both"/>
      </w:pPr>
      <w:r>
        <w:rPr>
          <w:b/>
        </w:rPr>
        <w:t xml:space="preserve">NOVENO: </w:t>
      </w:r>
      <w:r>
        <w:t>Que, consecuentemente, constando que todas las partes cesaron en la prosecución del procedimiento por un lapso superior a los 6 meses, sin que instaran en modo alguno para que la causa avanzara, se satisfacen los presupuestos</w:t>
      </w:r>
      <w:r>
        <w:rPr>
          <w:spacing w:val="54"/>
          <w:w w:val="150"/>
        </w:rPr>
        <w:t xml:space="preserve"> </w:t>
      </w:r>
      <w:r>
        <w:t>que</w:t>
      </w:r>
      <w:r>
        <w:rPr>
          <w:spacing w:val="54"/>
          <w:w w:val="150"/>
        </w:rPr>
        <w:t xml:space="preserve"> </w:t>
      </w:r>
      <w:r>
        <w:t>exige</w:t>
      </w:r>
      <w:r>
        <w:rPr>
          <w:spacing w:val="54"/>
          <w:w w:val="150"/>
        </w:rPr>
        <w:t xml:space="preserve"> </w:t>
      </w:r>
      <w:r>
        <w:t>el</w:t>
      </w:r>
      <w:r>
        <w:rPr>
          <w:spacing w:val="54"/>
          <w:w w:val="150"/>
        </w:rPr>
        <w:t xml:space="preserve"> </w:t>
      </w:r>
      <w:r>
        <w:t>señalado</w:t>
      </w:r>
      <w:r>
        <w:rPr>
          <w:spacing w:val="54"/>
          <w:w w:val="150"/>
        </w:rPr>
        <w:t xml:space="preserve"> </w:t>
      </w:r>
      <w:r>
        <w:t>artículo</w:t>
      </w:r>
      <w:r>
        <w:rPr>
          <w:spacing w:val="54"/>
          <w:w w:val="150"/>
        </w:rPr>
        <w:t xml:space="preserve"> </w:t>
      </w:r>
      <w:r>
        <w:t>152,</w:t>
      </w:r>
      <w:r>
        <w:rPr>
          <w:spacing w:val="54"/>
          <w:w w:val="150"/>
        </w:rPr>
        <w:t xml:space="preserve"> </w:t>
      </w:r>
      <w:r>
        <w:t>de</w:t>
      </w:r>
    </w:p>
    <w:p w14:paraId="08BA65D4" w14:textId="77777777" w:rsidR="0002133C" w:rsidRDefault="0002133C">
      <w:pPr>
        <w:pStyle w:val="Textoindependiente"/>
        <w:spacing w:line="480" w:lineRule="auto"/>
        <w:jc w:val="both"/>
        <w:sectPr w:rsidR="0002133C">
          <w:pgSz w:w="12240" w:h="15840"/>
          <w:pgMar w:top="1820" w:right="0" w:bottom="960" w:left="1440" w:header="0" w:footer="720" w:gutter="0"/>
          <w:cols w:space="720"/>
        </w:sectPr>
      </w:pPr>
    </w:p>
    <w:p w14:paraId="71E13687" w14:textId="77777777" w:rsidR="0002133C" w:rsidRDefault="0002133C">
      <w:pPr>
        <w:pStyle w:val="Textoindependiente"/>
      </w:pPr>
    </w:p>
    <w:p w14:paraId="67F5C1F1" w14:textId="77777777" w:rsidR="0002133C" w:rsidRDefault="0002133C">
      <w:pPr>
        <w:pStyle w:val="Textoindependiente"/>
        <w:spacing w:before="188"/>
      </w:pPr>
    </w:p>
    <w:p w14:paraId="5A1E1FC7" w14:textId="77777777" w:rsidR="0002133C" w:rsidRDefault="00000000">
      <w:pPr>
        <w:pStyle w:val="Textoindependiente"/>
        <w:spacing w:line="480" w:lineRule="auto"/>
        <w:ind w:left="830" w:right="1698"/>
        <w:jc w:val="both"/>
      </w:pPr>
      <w:r>
        <w:t>manera que los sentenciadores del grado aciertan en la correcta aplicación de las normas legales invocadas en el recurso, por lo que no se ha cometido el error de derecho denunciado, lo que conduce a desestimarlo.</w:t>
      </w:r>
    </w:p>
    <w:p w14:paraId="50B5FE57" w14:textId="77777777" w:rsidR="0002133C" w:rsidRDefault="00000000">
      <w:pPr>
        <w:pStyle w:val="Textoindependiente"/>
        <w:spacing w:before="1" w:line="480" w:lineRule="auto"/>
        <w:ind w:left="830" w:right="1698" w:firstLine="852"/>
        <w:jc w:val="both"/>
      </w:pPr>
      <w:r>
        <w:t xml:space="preserve">Por estas consideraciones, y de conformidad, además, con lo dispuesto en el artículo 782 del Código de Procedimiento Civil, </w:t>
      </w:r>
      <w:r>
        <w:rPr>
          <w:b/>
        </w:rPr>
        <w:t>se</w:t>
      </w:r>
      <w:r>
        <w:rPr>
          <w:b/>
          <w:spacing w:val="-3"/>
        </w:rPr>
        <w:t xml:space="preserve"> </w:t>
      </w:r>
      <w:r>
        <w:rPr>
          <w:b/>
        </w:rPr>
        <w:t>rechaza</w:t>
      </w:r>
      <w:r>
        <w:rPr>
          <w:b/>
          <w:spacing w:val="-1"/>
        </w:rPr>
        <w:t xml:space="preserve"> </w:t>
      </w:r>
      <w:r>
        <w:t>el recurso de casación en el fondo deducido en lo principal de la presentación de veinticuatro de noviembre de dos mil veinticuatro, en contra de la sentencia dictada por la Corte de Apelaciones de Santiago el veintiocho de octubre de dos mil veinticuatro.</w:t>
      </w:r>
    </w:p>
    <w:p w14:paraId="70EB42C5" w14:textId="77777777" w:rsidR="0002133C" w:rsidRDefault="00000000">
      <w:pPr>
        <w:pStyle w:val="Textoindependiente"/>
        <w:spacing w:before="2"/>
        <w:ind w:left="1682"/>
        <w:jc w:val="both"/>
      </w:pPr>
      <w:proofErr w:type="gramStart"/>
      <w:r>
        <w:t>Redacción</w:t>
      </w:r>
      <w:r>
        <w:rPr>
          <w:spacing w:val="15"/>
        </w:rPr>
        <w:t xml:space="preserve">  </w:t>
      </w:r>
      <w:r>
        <w:t>a</w:t>
      </w:r>
      <w:proofErr w:type="gramEnd"/>
      <w:r>
        <w:rPr>
          <w:spacing w:val="15"/>
        </w:rPr>
        <w:t xml:space="preserve">  </w:t>
      </w:r>
      <w:r>
        <w:t>cargo</w:t>
      </w:r>
      <w:r>
        <w:rPr>
          <w:spacing w:val="15"/>
        </w:rPr>
        <w:t xml:space="preserve">  </w:t>
      </w:r>
      <w:r>
        <w:t>del</w:t>
      </w:r>
      <w:r>
        <w:rPr>
          <w:spacing w:val="15"/>
        </w:rPr>
        <w:t xml:space="preserve">  </w:t>
      </w:r>
      <w:r>
        <w:t>Abogado</w:t>
      </w:r>
      <w:r>
        <w:rPr>
          <w:spacing w:val="15"/>
        </w:rPr>
        <w:t xml:space="preserve">  </w:t>
      </w:r>
      <w:r>
        <w:t>Integrante</w:t>
      </w:r>
      <w:r>
        <w:rPr>
          <w:spacing w:val="15"/>
        </w:rPr>
        <w:t xml:space="preserve">  </w:t>
      </w:r>
      <w:r>
        <w:rPr>
          <w:spacing w:val="-5"/>
        </w:rPr>
        <w:t>Sr.</w:t>
      </w:r>
    </w:p>
    <w:p w14:paraId="0C6D6061" w14:textId="77777777" w:rsidR="0002133C" w:rsidRDefault="0002133C">
      <w:pPr>
        <w:pStyle w:val="Textoindependiente"/>
      </w:pPr>
    </w:p>
    <w:p w14:paraId="5B17106D" w14:textId="77777777" w:rsidR="0002133C" w:rsidRDefault="00000000">
      <w:pPr>
        <w:pStyle w:val="Textoindependiente"/>
        <w:ind w:left="830"/>
      </w:pPr>
      <w:r>
        <w:rPr>
          <w:spacing w:val="-2"/>
        </w:rPr>
        <w:t>Valdivia.</w:t>
      </w:r>
    </w:p>
    <w:p w14:paraId="1EDDFF5D" w14:textId="77777777" w:rsidR="0002133C" w:rsidRDefault="0002133C">
      <w:pPr>
        <w:pStyle w:val="Textoindependiente"/>
      </w:pPr>
    </w:p>
    <w:p w14:paraId="459A5D7D" w14:textId="77777777" w:rsidR="0002133C" w:rsidRDefault="00000000">
      <w:pPr>
        <w:pStyle w:val="Textoindependiente"/>
        <w:spacing w:before="1" w:line="480" w:lineRule="auto"/>
        <w:ind w:left="1682" w:right="5661"/>
        <w:jc w:val="both"/>
      </w:pPr>
      <w:r>
        <w:t>Regístrese</w:t>
      </w:r>
      <w:r>
        <w:rPr>
          <w:spacing w:val="-20"/>
        </w:rPr>
        <w:t xml:space="preserve"> </w:t>
      </w:r>
      <w:r>
        <w:t>y</w:t>
      </w:r>
      <w:r>
        <w:rPr>
          <w:spacing w:val="-20"/>
        </w:rPr>
        <w:t xml:space="preserve"> </w:t>
      </w:r>
      <w:r>
        <w:t xml:space="preserve">devuélvase. Rol </w:t>
      </w:r>
      <w:proofErr w:type="spellStart"/>
      <w:r>
        <w:t>Nº</w:t>
      </w:r>
      <w:proofErr w:type="spellEnd"/>
      <w:r>
        <w:t xml:space="preserve"> 59.871-2024.</w:t>
      </w:r>
    </w:p>
    <w:p w14:paraId="4E0161EC" w14:textId="77777777" w:rsidR="0002133C" w:rsidRDefault="00000000">
      <w:pPr>
        <w:pStyle w:val="Textoindependiente"/>
        <w:spacing w:line="360" w:lineRule="auto"/>
        <w:ind w:left="830" w:right="1698"/>
        <w:jc w:val="both"/>
      </w:pPr>
      <w:r>
        <w:t xml:space="preserve">Pronunciado por la Tercera Sala de esta Corte Suprema integrada por los </w:t>
      </w:r>
      <w:proofErr w:type="gramStart"/>
      <w:r>
        <w:t>Ministros</w:t>
      </w:r>
      <w:proofErr w:type="gramEnd"/>
      <w:r>
        <w:t xml:space="preserve"> (as) Sra. Adelita Ravanales A., Sr. Gonzalo Ruz L. y Sra. Eliana Quezada M. (s) y por los Abogados Integrantes Sra. Fabiola Lathrop G. y Sr. José Miguel Valdivia O. No firman, no obstante haber concurrido</w:t>
      </w:r>
      <w:r>
        <w:rPr>
          <w:spacing w:val="32"/>
          <w:w w:val="150"/>
        </w:rPr>
        <w:t xml:space="preserve"> </w:t>
      </w:r>
      <w:r>
        <w:t>a</w:t>
      </w:r>
      <w:r>
        <w:rPr>
          <w:spacing w:val="30"/>
          <w:w w:val="150"/>
        </w:rPr>
        <w:t xml:space="preserve"> </w:t>
      </w:r>
      <w:r>
        <w:t>la</w:t>
      </w:r>
      <w:r>
        <w:rPr>
          <w:spacing w:val="32"/>
          <w:w w:val="150"/>
        </w:rPr>
        <w:t xml:space="preserve"> </w:t>
      </w:r>
      <w:r>
        <w:t>vista</w:t>
      </w:r>
      <w:r>
        <w:rPr>
          <w:spacing w:val="30"/>
          <w:w w:val="150"/>
        </w:rPr>
        <w:t xml:space="preserve"> </w:t>
      </w:r>
      <w:r>
        <w:t>y</w:t>
      </w:r>
      <w:r>
        <w:rPr>
          <w:spacing w:val="32"/>
          <w:w w:val="150"/>
        </w:rPr>
        <w:t xml:space="preserve"> </w:t>
      </w:r>
      <w:r>
        <w:t>al</w:t>
      </w:r>
      <w:r>
        <w:rPr>
          <w:spacing w:val="30"/>
          <w:w w:val="150"/>
        </w:rPr>
        <w:t xml:space="preserve"> </w:t>
      </w:r>
      <w:r>
        <w:t>acuerdo</w:t>
      </w:r>
      <w:r>
        <w:rPr>
          <w:spacing w:val="32"/>
          <w:w w:val="150"/>
        </w:rPr>
        <w:t xml:space="preserve"> </w:t>
      </w:r>
      <w:r>
        <w:t>de</w:t>
      </w:r>
      <w:r>
        <w:rPr>
          <w:spacing w:val="30"/>
          <w:w w:val="150"/>
        </w:rPr>
        <w:t xml:space="preserve"> </w:t>
      </w:r>
      <w:r>
        <w:t>la</w:t>
      </w:r>
      <w:r>
        <w:rPr>
          <w:spacing w:val="32"/>
          <w:w w:val="150"/>
        </w:rPr>
        <w:t xml:space="preserve"> </w:t>
      </w:r>
      <w:r>
        <w:t>causa,</w:t>
      </w:r>
      <w:r>
        <w:rPr>
          <w:spacing w:val="30"/>
          <w:w w:val="150"/>
        </w:rPr>
        <w:t xml:space="preserve"> </w:t>
      </w:r>
      <w:r>
        <w:t>la</w:t>
      </w:r>
    </w:p>
    <w:p w14:paraId="26166896" w14:textId="77777777" w:rsidR="0002133C" w:rsidRDefault="0002133C">
      <w:pPr>
        <w:pStyle w:val="Textoindependiente"/>
        <w:spacing w:line="360" w:lineRule="auto"/>
        <w:jc w:val="both"/>
        <w:sectPr w:rsidR="0002133C">
          <w:pgSz w:w="12240" w:h="15840"/>
          <w:pgMar w:top="1820" w:right="0" w:bottom="960" w:left="1440" w:header="0" w:footer="720" w:gutter="0"/>
          <w:cols w:space="720"/>
        </w:sectPr>
      </w:pPr>
    </w:p>
    <w:p w14:paraId="44B711C4" w14:textId="77777777" w:rsidR="0002133C" w:rsidRDefault="0002133C">
      <w:pPr>
        <w:pStyle w:val="Textoindependiente"/>
      </w:pPr>
    </w:p>
    <w:p w14:paraId="3E316CC9" w14:textId="77777777" w:rsidR="0002133C" w:rsidRDefault="0002133C">
      <w:pPr>
        <w:pStyle w:val="Textoindependiente"/>
        <w:spacing w:before="188"/>
      </w:pPr>
    </w:p>
    <w:p w14:paraId="09273A08" w14:textId="77777777" w:rsidR="0002133C" w:rsidRDefault="00000000">
      <w:pPr>
        <w:pStyle w:val="Textoindependiente"/>
        <w:spacing w:line="360" w:lineRule="auto"/>
        <w:ind w:left="830" w:right="1698"/>
        <w:jc w:val="both"/>
      </w:pPr>
      <w:r>
        <w:t>Ministra Sra. Quezada y la Abogada Integrante Sra. Lathrop por no encontrarse disponible sus dispositivos electrónicos de firma.</w:t>
      </w:r>
    </w:p>
    <w:p w14:paraId="40EA04AC" w14:textId="77777777" w:rsidR="0002133C" w:rsidRDefault="0002133C">
      <w:pPr>
        <w:pStyle w:val="Textoindependiente"/>
        <w:rPr>
          <w:sz w:val="20"/>
        </w:rPr>
      </w:pPr>
    </w:p>
    <w:p w14:paraId="6CC20410" w14:textId="77777777" w:rsidR="0002133C" w:rsidRDefault="0002133C">
      <w:pPr>
        <w:pStyle w:val="Textoindependiente"/>
        <w:spacing w:before="110"/>
        <w:rPr>
          <w:sz w:val="20"/>
        </w:rPr>
      </w:pPr>
    </w:p>
    <w:p w14:paraId="6A22C1E3" w14:textId="77777777" w:rsidR="0002133C" w:rsidRDefault="0002133C">
      <w:pPr>
        <w:pStyle w:val="Textoindependiente"/>
        <w:rPr>
          <w:sz w:val="20"/>
        </w:rPr>
        <w:sectPr w:rsidR="0002133C">
          <w:pgSz w:w="12240" w:h="15840"/>
          <w:pgMar w:top="1820" w:right="0" w:bottom="960" w:left="1440" w:header="0" w:footer="720" w:gutter="0"/>
          <w:cols w:space="720"/>
        </w:sectPr>
      </w:pPr>
    </w:p>
    <w:p w14:paraId="527506D8" w14:textId="77777777" w:rsidR="0002133C" w:rsidRDefault="00000000">
      <w:pPr>
        <w:pStyle w:val="Textoindependiente"/>
        <w:spacing w:before="121" w:line="208" w:lineRule="auto"/>
        <w:ind w:left="240"/>
        <w:rPr>
          <w:rFonts w:ascii="Arial"/>
        </w:rPr>
      </w:pPr>
      <w:r>
        <w:rPr>
          <w:rFonts w:ascii="Arial"/>
        </w:rPr>
        <w:t>ADELITA</w:t>
      </w:r>
      <w:r>
        <w:rPr>
          <w:rFonts w:ascii="Arial"/>
          <w:spacing w:val="-17"/>
        </w:rPr>
        <w:t xml:space="preserve"> </w:t>
      </w:r>
      <w:r>
        <w:rPr>
          <w:rFonts w:ascii="Arial"/>
        </w:rPr>
        <w:t>INES</w:t>
      </w:r>
      <w:r>
        <w:rPr>
          <w:rFonts w:ascii="Arial"/>
          <w:spacing w:val="-17"/>
        </w:rPr>
        <w:t xml:space="preserve"> </w:t>
      </w:r>
      <w:r>
        <w:rPr>
          <w:rFonts w:ascii="Arial"/>
        </w:rPr>
        <w:t xml:space="preserve">RAVANALES </w:t>
      </w:r>
      <w:r>
        <w:rPr>
          <w:rFonts w:ascii="Arial"/>
          <w:spacing w:val="-2"/>
        </w:rPr>
        <w:t>ARRIAGADA</w:t>
      </w:r>
    </w:p>
    <w:p w14:paraId="6E945D17" w14:textId="77777777" w:rsidR="0002133C" w:rsidRDefault="00000000">
      <w:pPr>
        <w:pStyle w:val="Textoindependiente"/>
        <w:spacing w:line="229" w:lineRule="exact"/>
        <w:ind w:left="240"/>
        <w:rPr>
          <w:rFonts w:ascii="Arial"/>
        </w:rPr>
      </w:pPr>
      <w:r>
        <w:rPr>
          <w:rFonts w:ascii="Arial"/>
          <w:spacing w:val="-2"/>
        </w:rPr>
        <w:t>MINISTRA</w:t>
      </w:r>
    </w:p>
    <w:p w14:paraId="4CC42647" w14:textId="77777777" w:rsidR="0002133C" w:rsidRDefault="00000000">
      <w:pPr>
        <w:pStyle w:val="Textoindependiente"/>
        <w:spacing w:line="258" w:lineRule="exact"/>
        <w:ind w:left="240"/>
        <w:rPr>
          <w:rFonts w:ascii="Arial"/>
        </w:rPr>
      </w:pPr>
      <w:r>
        <w:rPr>
          <w:rFonts w:ascii="Arial"/>
        </w:rPr>
        <w:t xml:space="preserve">Fecha: 26/10/2026 </w:t>
      </w:r>
      <w:r>
        <w:rPr>
          <w:rFonts w:ascii="Arial"/>
          <w:spacing w:val="-2"/>
        </w:rPr>
        <w:t>15:23:25</w:t>
      </w:r>
    </w:p>
    <w:p w14:paraId="1BFD536D" w14:textId="77777777" w:rsidR="0002133C" w:rsidRDefault="00000000">
      <w:pPr>
        <w:pStyle w:val="Textoindependiente"/>
        <w:spacing w:before="121" w:line="208" w:lineRule="auto"/>
        <w:ind w:left="240" w:right="994"/>
        <w:rPr>
          <w:rFonts w:ascii="Arial"/>
        </w:rPr>
      </w:pPr>
      <w:r>
        <w:br w:type="column"/>
      </w:r>
      <w:r>
        <w:rPr>
          <w:rFonts w:ascii="Arial"/>
        </w:rPr>
        <w:t>GONZALO</w:t>
      </w:r>
      <w:r>
        <w:rPr>
          <w:rFonts w:ascii="Arial"/>
          <w:spacing w:val="-13"/>
        </w:rPr>
        <w:t xml:space="preserve"> </w:t>
      </w:r>
      <w:r>
        <w:rPr>
          <w:rFonts w:ascii="Arial"/>
        </w:rPr>
        <w:t>ENRIQUE</w:t>
      </w:r>
      <w:r>
        <w:rPr>
          <w:rFonts w:ascii="Arial"/>
          <w:spacing w:val="-13"/>
        </w:rPr>
        <w:t xml:space="preserve"> </w:t>
      </w:r>
      <w:r>
        <w:rPr>
          <w:rFonts w:ascii="Arial"/>
        </w:rPr>
        <w:t>RUZ</w:t>
      </w:r>
      <w:r>
        <w:rPr>
          <w:rFonts w:ascii="Arial"/>
          <w:spacing w:val="-13"/>
        </w:rPr>
        <w:t xml:space="preserve"> </w:t>
      </w:r>
      <w:r>
        <w:rPr>
          <w:rFonts w:ascii="Arial"/>
        </w:rPr>
        <w:t xml:space="preserve">LARTIGA </w:t>
      </w:r>
      <w:r>
        <w:rPr>
          <w:rFonts w:ascii="Arial"/>
          <w:spacing w:val="-2"/>
        </w:rPr>
        <w:t>MINISTRO</w:t>
      </w:r>
    </w:p>
    <w:p w14:paraId="60764A12" w14:textId="77777777" w:rsidR="0002133C" w:rsidRDefault="00000000">
      <w:pPr>
        <w:pStyle w:val="Textoindependiente"/>
        <w:spacing w:line="247" w:lineRule="exact"/>
        <w:ind w:left="240"/>
        <w:rPr>
          <w:rFonts w:ascii="Arial"/>
        </w:rPr>
      </w:pPr>
      <w:r>
        <w:rPr>
          <w:rFonts w:ascii="Arial"/>
        </w:rPr>
        <w:t xml:space="preserve">Fecha: 26/10/2026 </w:t>
      </w:r>
      <w:r>
        <w:rPr>
          <w:rFonts w:ascii="Arial"/>
          <w:spacing w:val="-2"/>
        </w:rPr>
        <w:t>15:37:09</w:t>
      </w:r>
    </w:p>
    <w:p w14:paraId="35048DB3" w14:textId="77777777" w:rsidR="0002133C" w:rsidRDefault="0002133C">
      <w:pPr>
        <w:pStyle w:val="Textoindependiente"/>
        <w:spacing w:line="247" w:lineRule="exact"/>
        <w:rPr>
          <w:rFonts w:ascii="Arial"/>
        </w:rPr>
        <w:sectPr w:rsidR="0002133C">
          <w:type w:val="continuous"/>
          <w:pgSz w:w="12240" w:h="15840"/>
          <w:pgMar w:top="1820" w:right="0" w:bottom="960" w:left="1440" w:header="0" w:footer="720" w:gutter="0"/>
          <w:cols w:num="2" w:space="720" w:equalWidth="0">
            <w:col w:w="3415" w:space="1065"/>
            <w:col w:w="6320"/>
          </w:cols>
        </w:sectPr>
      </w:pPr>
    </w:p>
    <w:p w14:paraId="0ABCDADB" w14:textId="77777777" w:rsidR="0002133C" w:rsidRDefault="0002133C">
      <w:pPr>
        <w:pStyle w:val="Textoindependiente"/>
        <w:rPr>
          <w:rFonts w:ascii="Arial"/>
        </w:rPr>
      </w:pPr>
    </w:p>
    <w:p w14:paraId="0A24BA56" w14:textId="77777777" w:rsidR="0002133C" w:rsidRDefault="0002133C">
      <w:pPr>
        <w:pStyle w:val="Textoindependiente"/>
        <w:rPr>
          <w:rFonts w:ascii="Arial"/>
        </w:rPr>
      </w:pPr>
    </w:p>
    <w:p w14:paraId="3E0D2040" w14:textId="77777777" w:rsidR="0002133C" w:rsidRDefault="0002133C">
      <w:pPr>
        <w:pStyle w:val="Textoindependiente"/>
        <w:rPr>
          <w:rFonts w:ascii="Arial"/>
        </w:rPr>
      </w:pPr>
    </w:p>
    <w:p w14:paraId="189B1B22" w14:textId="77777777" w:rsidR="0002133C" w:rsidRDefault="0002133C">
      <w:pPr>
        <w:pStyle w:val="Textoindependiente"/>
        <w:rPr>
          <w:rFonts w:ascii="Arial"/>
        </w:rPr>
      </w:pPr>
    </w:p>
    <w:p w14:paraId="116C9FB3" w14:textId="77777777" w:rsidR="0002133C" w:rsidRDefault="0002133C">
      <w:pPr>
        <w:pStyle w:val="Textoindependiente"/>
        <w:spacing w:before="153"/>
        <w:rPr>
          <w:rFonts w:ascii="Arial"/>
        </w:rPr>
      </w:pPr>
    </w:p>
    <w:p w14:paraId="0F376049" w14:textId="77777777" w:rsidR="0002133C" w:rsidRDefault="00000000">
      <w:pPr>
        <w:pStyle w:val="Textoindependiente"/>
        <w:spacing w:before="1" w:line="208" w:lineRule="auto"/>
        <w:ind w:left="240" w:right="5377"/>
        <w:rPr>
          <w:rFonts w:ascii="Arial"/>
        </w:rPr>
      </w:pPr>
      <w:r>
        <w:rPr>
          <w:rFonts w:ascii="Arial"/>
        </w:rPr>
        <w:t>JOSE</w:t>
      </w:r>
      <w:r>
        <w:rPr>
          <w:rFonts w:ascii="Arial"/>
          <w:spacing w:val="-13"/>
        </w:rPr>
        <w:t xml:space="preserve"> </w:t>
      </w:r>
      <w:r>
        <w:rPr>
          <w:rFonts w:ascii="Arial"/>
        </w:rPr>
        <w:t>MIGUEL</w:t>
      </w:r>
      <w:r>
        <w:rPr>
          <w:rFonts w:ascii="Arial"/>
          <w:spacing w:val="-13"/>
        </w:rPr>
        <w:t xml:space="preserve"> </w:t>
      </w:r>
      <w:r>
        <w:rPr>
          <w:rFonts w:ascii="Arial"/>
        </w:rPr>
        <w:t>VALDIVIA</w:t>
      </w:r>
      <w:r>
        <w:rPr>
          <w:rFonts w:ascii="Arial"/>
          <w:spacing w:val="-13"/>
        </w:rPr>
        <w:t xml:space="preserve"> </w:t>
      </w:r>
      <w:r>
        <w:rPr>
          <w:rFonts w:ascii="Arial"/>
        </w:rPr>
        <w:t>OLIVARES ABOGADO INTEGRANTE</w:t>
      </w:r>
    </w:p>
    <w:p w14:paraId="5A758438" w14:textId="77777777" w:rsidR="0002133C" w:rsidRDefault="00000000">
      <w:pPr>
        <w:pStyle w:val="Textoindependiente"/>
        <w:spacing w:line="247" w:lineRule="exact"/>
        <w:ind w:left="240"/>
        <w:rPr>
          <w:rFonts w:ascii="Arial"/>
        </w:rPr>
      </w:pPr>
      <w:r>
        <w:rPr>
          <w:rFonts w:ascii="Arial"/>
        </w:rPr>
        <w:t xml:space="preserve">Fecha: 26/10/2026 </w:t>
      </w:r>
      <w:r>
        <w:rPr>
          <w:rFonts w:ascii="Arial"/>
          <w:spacing w:val="-2"/>
        </w:rPr>
        <w:t>15:23:26</w:t>
      </w:r>
    </w:p>
    <w:p w14:paraId="695E3EEB" w14:textId="77777777" w:rsidR="0002133C" w:rsidRDefault="0002133C">
      <w:pPr>
        <w:pStyle w:val="Textoindependiente"/>
        <w:spacing w:line="247" w:lineRule="exact"/>
        <w:rPr>
          <w:rFonts w:ascii="Arial"/>
        </w:rPr>
        <w:sectPr w:rsidR="0002133C">
          <w:type w:val="continuous"/>
          <w:pgSz w:w="12240" w:h="15840"/>
          <w:pgMar w:top="1820" w:right="0" w:bottom="960" w:left="1440" w:header="0" w:footer="720" w:gutter="0"/>
          <w:cols w:space="720"/>
        </w:sectPr>
      </w:pPr>
    </w:p>
    <w:p w14:paraId="5FA0B0C2" w14:textId="77777777" w:rsidR="0002133C" w:rsidRDefault="00000000">
      <w:pPr>
        <w:pStyle w:val="Textoindependiente"/>
        <w:spacing w:before="75" w:line="261" w:lineRule="auto"/>
        <w:ind w:left="560" w:right="1317"/>
        <w:rPr>
          <w:rFonts w:ascii="Arial" w:hAnsi="Arial"/>
        </w:rPr>
      </w:pPr>
      <w:r>
        <w:rPr>
          <w:rFonts w:ascii="Arial" w:hAnsi="Arial"/>
        </w:rPr>
        <w:lastRenderedPageBreak/>
        <w:t>En</w:t>
      </w:r>
      <w:r>
        <w:rPr>
          <w:rFonts w:ascii="Arial" w:hAnsi="Arial"/>
          <w:spacing w:val="28"/>
        </w:rPr>
        <w:t xml:space="preserve"> </w:t>
      </w:r>
      <w:r>
        <w:rPr>
          <w:rFonts w:ascii="Arial" w:hAnsi="Arial"/>
        </w:rPr>
        <w:t>Santiago,</w:t>
      </w:r>
      <w:r>
        <w:rPr>
          <w:rFonts w:ascii="Arial" w:hAnsi="Arial"/>
          <w:spacing w:val="28"/>
        </w:rPr>
        <w:t xml:space="preserve"> </w:t>
      </w:r>
      <w:r>
        <w:rPr>
          <w:rFonts w:ascii="Arial" w:hAnsi="Arial"/>
        </w:rPr>
        <w:t>a</w:t>
      </w:r>
      <w:r>
        <w:rPr>
          <w:rFonts w:ascii="Arial" w:hAnsi="Arial"/>
          <w:spacing w:val="28"/>
        </w:rPr>
        <w:t xml:space="preserve"> </w:t>
      </w:r>
      <w:r>
        <w:rPr>
          <w:rFonts w:ascii="Arial" w:hAnsi="Arial"/>
        </w:rPr>
        <w:t>veintiséis</w:t>
      </w:r>
      <w:r>
        <w:rPr>
          <w:rFonts w:ascii="Arial" w:hAnsi="Arial"/>
          <w:spacing w:val="28"/>
        </w:rPr>
        <w:t xml:space="preserve"> </w:t>
      </w:r>
      <w:r>
        <w:rPr>
          <w:rFonts w:ascii="Arial" w:hAnsi="Arial"/>
        </w:rPr>
        <w:t>de</w:t>
      </w:r>
      <w:r>
        <w:rPr>
          <w:rFonts w:ascii="Arial" w:hAnsi="Arial"/>
          <w:spacing w:val="28"/>
        </w:rPr>
        <w:t xml:space="preserve"> </w:t>
      </w:r>
      <w:r>
        <w:rPr>
          <w:rFonts w:ascii="Arial" w:hAnsi="Arial"/>
        </w:rPr>
        <w:t>octubre</w:t>
      </w:r>
      <w:r>
        <w:rPr>
          <w:rFonts w:ascii="Arial" w:hAnsi="Arial"/>
          <w:spacing w:val="28"/>
        </w:rPr>
        <w:t xml:space="preserve"> </w:t>
      </w:r>
      <w:r>
        <w:rPr>
          <w:rFonts w:ascii="Arial" w:hAnsi="Arial"/>
        </w:rPr>
        <w:t>de</w:t>
      </w:r>
      <w:r>
        <w:rPr>
          <w:rFonts w:ascii="Arial" w:hAnsi="Arial"/>
          <w:spacing w:val="28"/>
        </w:rPr>
        <w:t xml:space="preserve"> </w:t>
      </w:r>
      <w:r>
        <w:rPr>
          <w:rFonts w:ascii="Arial" w:hAnsi="Arial"/>
        </w:rPr>
        <w:t>dos</w:t>
      </w:r>
      <w:r>
        <w:rPr>
          <w:rFonts w:ascii="Arial" w:hAnsi="Arial"/>
          <w:spacing w:val="28"/>
        </w:rPr>
        <w:t xml:space="preserve"> </w:t>
      </w:r>
      <w:r>
        <w:rPr>
          <w:rFonts w:ascii="Arial" w:hAnsi="Arial"/>
        </w:rPr>
        <w:t>mil</w:t>
      </w:r>
      <w:r>
        <w:rPr>
          <w:rFonts w:ascii="Arial" w:hAnsi="Arial"/>
          <w:spacing w:val="28"/>
        </w:rPr>
        <w:t xml:space="preserve"> </w:t>
      </w:r>
      <w:r>
        <w:rPr>
          <w:rFonts w:ascii="Arial" w:hAnsi="Arial"/>
        </w:rPr>
        <w:t>veintiséis,</w:t>
      </w:r>
      <w:r>
        <w:rPr>
          <w:rFonts w:ascii="Arial" w:hAnsi="Arial"/>
          <w:spacing w:val="28"/>
        </w:rPr>
        <w:t xml:space="preserve"> </w:t>
      </w:r>
      <w:r>
        <w:rPr>
          <w:rFonts w:ascii="Arial" w:hAnsi="Arial"/>
        </w:rPr>
        <w:t>se</w:t>
      </w:r>
      <w:r>
        <w:rPr>
          <w:rFonts w:ascii="Arial" w:hAnsi="Arial"/>
          <w:spacing w:val="28"/>
        </w:rPr>
        <w:t xml:space="preserve"> </w:t>
      </w:r>
      <w:r>
        <w:rPr>
          <w:rFonts w:ascii="Arial" w:hAnsi="Arial"/>
        </w:rPr>
        <w:t>incluyó</w:t>
      </w:r>
      <w:r>
        <w:rPr>
          <w:rFonts w:ascii="Arial" w:hAnsi="Arial"/>
          <w:spacing w:val="28"/>
        </w:rPr>
        <w:t xml:space="preserve"> </w:t>
      </w:r>
      <w:r>
        <w:rPr>
          <w:rFonts w:ascii="Arial" w:hAnsi="Arial"/>
        </w:rPr>
        <w:t>en</w:t>
      </w:r>
      <w:r>
        <w:rPr>
          <w:rFonts w:ascii="Arial" w:hAnsi="Arial"/>
          <w:spacing w:val="28"/>
        </w:rPr>
        <w:t xml:space="preserve"> </w:t>
      </w:r>
      <w:r>
        <w:rPr>
          <w:rFonts w:ascii="Arial" w:hAnsi="Arial"/>
        </w:rPr>
        <w:t>el Estado Diario la resolución precedente.</w:t>
      </w:r>
    </w:p>
    <w:p w14:paraId="32A9F831" w14:textId="77777777" w:rsidR="0002133C" w:rsidRDefault="0002133C">
      <w:pPr>
        <w:pStyle w:val="Textoindependiente"/>
        <w:rPr>
          <w:rFonts w:ascii="Arial"/>
          <w:sz w:val="20"/>
        </w:rPr>
      </w:pPr>
    </w:p>
    <w:p w14:paraId="3DA330FD" w14:textId="77777777" w:rsidR="0002133C" w:rsidRDefault="0002133C">
      <w:pPr>
        <w:pStyle w:val="Textoindependiente"/>
        <w:rPr>
          <w:rFonts w:ascii="Arial"/>
          <w:sz w:val="20"/>
        </w:rPr>
      </w:pPr>
    </w:p>
    <w:p w14:paraId="389B34CD" w14:textId="77777777" w:rsidR="0002133C" w:rsidRDefault="0002133C">
      <w:pPr>
        <w:pStyle w:val="Textoindependiente"/>
        <w:rPr>
          <w:rFonts w:ascii="Arial"/>
          <w:sz w:val="20"/>
        </w:rPr>
      </w:pPr>
    </w:p>
    <w:p w14:paraId="35455C9D" w14:textId="77777777" w:rsidR="0002133C" w:rsidRDefault="0002133C">
      <w:pPr>
        <w:pStyle w:val="Textoindependiente"/>
        <w:rPr>
          <w:rFonts w:ascii="Arial"/>
          <w:sz w:val="20"/>
        </w:rPr>
      </w:pPr>
    </w:p>
    <w:p w14:paraId="40FEB918" w14:textId="77777777" w:rsidR="0002133C" w:rsidRDefault="0002133C">
      <w:pPr>
        <w:pStyle w:val="Textoindependiente"/>
        <w:rPr>
          <w:rFonts w:ascii="Arial"/>
          <w:sz w:val="20"/>
        </w:rPr>
      </w:pPr>
    </w:p>
    <w:p w14:paraId="070FA131" w14:textId="77777777" w:rsidR="0002133C" w:rsidRDefault="0002133C">
      <w:pPr>
        <w:pStyle w:val="Textoindependiente"/>
        <w:rPr>
          <w:rFonts w:ascii="Arial"/>
          <w:sz w:val="20"/>
        </w:rPr>
      </w:pPr>
    </w:p>
    <w:p w14:paraId="7DA7959C" w14:textId="77777777" w:rsidR="0002133C" w:rsidRDefault="0002133C">
      <w:pPr>
        <w:pStyle w:val="Textoindependiente"/>
        <w:rPr>
          <w:rFonts w:ascii="Arial"/>
          <w:sz w:val="20"/>
        </w:rPr>
      </w:pPr>
    </w:p>
    <w:p w14:paraId="21238672" w14:textId="77777777" w:rsidR="0002133C" w:rsidRDefault="0002133C">
      <w:pPr>
        <w:pStyle w:val="Textoindependiente"/>
        <w:rPr>
          <w:rFonts w:ascii="Arial"/>
          <w:sz w:val="20"/>
        </w:rPr>
      </w:pPr>
    </w:p>
    <w:p w14:paraId="6AE99828" w14:textId="77777777" w:rsidR="0002133C" w:rsidRDefault="0002133C">
      <w:pPr>
        <w:pStyle w:val="Textoindependiente"/>
        <w:rPr>
          <w:rFonts w:ascii="Arial"/>
          <w:sz w:val="20"/>
        </w:rPr>
      </w:pPr>
    </w:p>
    <w:p w14:paraId="1E7F2115" w14:textId="77777777" w:rsidR="0002133C" w:rsidRDefault="0002133C">
      <w:pPr>
        <w:pStyle w:val="Textoindependiente"/>
        <w:rPr>
          <w:rFonts w:ascii="Arial"/>
          <w:sz w:val="20"/>
        </w:rPr>
      </w:pPr>
    </w:p>
    <w:p w14:paraId="0E24E17F" w14:textId="77777777" w:rsidR="0002133C" w:rsidRDefault="0002133C">
      <w:pPr>
        <w:pStyle w:val="Textoindependiente"/>
        <w:rPr>
          <w:rFonts w:ascii="Arial"/>
          <w:sz w:val="20"/>
        </w:rPr>
      </w:pPr>
    </w:p>
    <w:p w14:paraId="37EB87D3" w14:textId="77777777" w:rsidR="0002133C" w:rsidRDefault="0002133C">
      <w:pPr>
        <w:pStyle w:val="Textoindependiente"/>
        <w:rPr>
          <w:rFonts w:ascii="Arial"/>
          <w:sz w:val="20"/>
        </w:rPr>
      </w:pPr>
    </w:p>
    <w:p w14:paraId="61C67674" w14:textId="77777777" w:rsidR="0002133C" w:rsidRDefault="0002133C">
      <w:pPr>
        <w:pStyle w:val="Textoindependiente"/>
        <w:rPr>
          <w:rFonts w:ascii="Arial"/>
          <w:sz w:val="20"/>
        </w:rPr>
      </w:pPr>
    </w:p>
    <w:p w14:paraId="15BB20F3" w14:textId="77777777" w:rsidR="0002133C" w:rsidRDefault="0002133C">
      <w:pPr>
        <w:pStyle w:val="Textoindependiente"/>
        <w:rPr>
          <w:rFonts w:ascii="Arial"/>
          <w:sz w:val="20"/>
        </w:rPr>
      </w:pPr>
    </w:p>
    <w:p w14:paraId="46EBD7D4" w14:textId="77777777" w:rsidR="0002133C" w:rsidRDefault="0002133C">
      <w:pPr>
        <w:pStyle w:val="Textoindependiente"/>
        <w:rPr>
          <w:rFonts w:ascii="Arial"/>
          <w:sz w:val="20"/>
        </w:rPr>
      </w:pPr>
    </w:p>
    <w:p w14:paraId="60C3B9C7" w14:textId="77777777" w:rsidR="0002133C" w:rsidRDefault="0002133C">
      <w:pPr>
        <w:pStyle w:val="Textoindependiente"/>
        <w:rPr>
          <w:rFonts w:ascii="Arial"/>
          <w:sz w:val="20"/>
        </w:rPr>
      </w:pPr>
    </w:p>
    <w:p w14:paraId="4FBAF85C" w14:textId="77777777" w:rsidR="0002133C" w:rsidRDefault="0002133C">
      <w:pPr>
        <w:pStyle w:val="Textoindependiente"/>
        <w:rPr>
          <w:rFonts w:ascii="Arial"/>
          <w:sz w:val="20"/>
        </w:rPr>
      </w:pPr>
    </w:p>
    <w:p w14:paraId="52D6BEEE" w14:textId="77777777" w:rsidR="0002133C" w:rsidRDefault="0002133C">
      <w:pPr>
        <w:pStyle w:val="Textoindependiente"/>
        <w:rPr>
          <w:rFonts w:ascii="Arial"/>
          <w:sz w:val="20"/>
        </w:rPr>
      </w:pPr>
    </w:p>
    <w:p w14:paraId="1367A4AE" w14:textId="77777777" w:rsidR="0002133C" w:rsidRDefault="0002133C">
      <w:pPr>
        <w:pStyle w:val="Textoindependiente"/>
        <w:rPr>
          <w:rFonts w:ascii="Arial"/>
          <w:sz w:val="20"/>
        </w:rPr>
      </w:pPr>
    </w:p>
    <w:p w14:paraId="0A255020" w14:textId="77777777" w:rsidR="0002133C" w:rsidRDefault="0002133C">
      <w:pPr>
        <w:pStyle w:val="Textoindependiente"/>
        <w:rPr>
          <w:rFonts w:ascii="Arial"/>
          <w:sz w:val="20"/>
        </w:rPr>
      </w:pPr>
    </w:p>
    <w:p w14:paraId="547F95D8" w14:textId="77777777" w:rsidR="0002133C" w:rsidRDefault="0002133C">
      <w:pPr>
        <w:pStyle w:val="Textoindependiente"/>
        <w:rPr>
          <w:rFonts w:ascii="Arial"/>
          <w:sz w:val="20"/>
        </w:rPr>
      </w:pPr>
    </w:p>
    <w:p w14:paraId="3DA45E7A" w14:textId="77777777" w:rsidR="0002133C" w:rsidRDefault="0002133C">
      <w:pPr>
        <w:pStyle w:val="Textoindependiente"/>
        <w:rPr>
          <w:rFonts w:ascii="Arial"/>
          <w:sz w:val="20"/>
        </w:rPr>
      </w:pPr>
    </w:p>
    <w:p w14:paraId="65C95472" w14:textId="77777777" w:rsidR="0002133C" w:rsidRDefault="0002133C">
      <w:pPr>
        <w:pStyle w:val="Textoindependiente"/>
        <w:rPr>
          <w:rFonts w:ascii="Arial"/>
          <w:sz w:val="20"/>
        </w:rPr>
      </w:pPr>
    </w:p>
    <w:p w14:paraId="77B9895B" w14:textId="77777777" w:rsidR="0002133C" w:rsidRDefault="0002133C">
      <w:pPr>
        <w:pStyle w:val="Textoindependiente"/>
        <w:rPr>
          <w:rFonts w:ascii="Arial"/>
          <w:sz w:val="20"/>
        </w:rPr>
      </w:pPr>
    </w:p>
    <w:p w14:paraId="23D75023" w14:textId="77777777" w:rsidR="0002133C" w:rsidRDefault="0002133C">
      <w:pPr>
        <w:pStyle w:val="Textoindependiente"/>
        <w:rPr>
          <w:rFonts w:ascii="Arial"/>
          <w:sz w:val="20"/>
        </w:rPr>
      </w:pPr>
    </w:p>
    <w:p w14:paraId="162A0DBB" w14:textId="77777777" w:rsidR="0002133C" w:rsidRDefault="0002133C">
      <w:pPr>
        <w:pStyle w:val="Textoindependiente"/>
        <w:rPr>
          <w:rFonts w:ascii="Arial"/>
          <w:sz w:val="20"/>
        </w:rPr>
      </w:pPr>
    </w:p>
    <w:p w14:paraId="665D8F8E" w14:textId="77777777" w:rsidR="0002133C" w:rsidRDefault="0002133C">
      <w:pPr>
        <w:pStyle w:val="Textoindependiente"/>
        <w:rPr>
          <w:rFonts w:ascii="Arial"/>
          <w:sz w:val="20"/>
        </w:rPr>
      </w:pPr>
    </w:p>
    <w:p w14:paraId="2E592583" w14:textId="77777777" w:rsidR="0002133C" w:rsidRDefault="0002133C">
      <w:pPr>
        <w:pStyle w:val="Textoindependiente"/>
        <w:rPr>
          <w:rFonts w:ascii="Arial"/>
          <w:sz w:val="20"/>
        </w:rPr>
      </w:pPr>
    </w:p>
    <w:p w14:paraId="2D00CDC9" w14:textId="77777777" w:rsidR="0002133C" w:rsidRDefault="0002133C">
      <w:pPr>
        <w:pStyle w:val="Textoindependiente"/>
        <w:rPr>
          <w:rFonts w:ascii="Arial"/>
          <w:sz w:val="20"/>
        </w:rPr>
      </w:pPr>
    </w:p>
    <w:p w14:paraId="12E35E88" w14:textId="77777777" w:rsidR="0002133C" w:rsidRDefault="0002133C">
      <w:pPr>
        <w:pStyle w:val="Textoindependiente"/>
        <w:rPr>
          <w:rFonts w:ascii="Arial"/>
          <w:sz w:val="20"/>
        </w:rPr>
      </w:pPr>
    </w:p>
    <w:p w14:paraId="37AE37F6" w14:textId="77777777" w:rsidR="0002133C" w:rsidRDefault="0002133C">
      <w:pPr>
        <w:pStyle w:val="Textoindependiente"/>
        <w:rPr>
          <w:rFonts w:ascii="Arial"/>
          <w:sz w:val="20"/>
        </w:rPr>
      </w:pPr>
    </w:p>
    <w:p w14:paraId="31A5A6D1" w14:textId="77777777" w:rsidR="0002133C" w:rsidRDefault="0002133C">
      <w:pPr>
        <w:pStyle w:val="Textoindependiente"/>
        <w:rPr>
          <w:rFonts w:ascii="Arial"/>
          <w:sz w:val="20"/>
        </w:rPr>
      </w:pPr>
    </w:p>
    <w:p w14:paraId="3AFD8095" w14:textId="77777777" w:rsidR="0002133C" w:rsidRDefault="0002133C">
      <w:pPr>
        <w:pStyle w:val="Textoindependiente"/>
        <w:rPr>
          <w:rFonts w:ascii="Arial"/>
          <w:sz w:val="20"/>
        </w:rPr>
      </w:pPr>
    </w:p>
    <w:p w14:paraId="2A3ABA1C" w14:textId="77777777" w:rsidR="0002133C" w:rsidRDefault="0002133C">
      <w:pPr>
        <w:pStyle w:val="Textoindependiente"/>
        <w:rPr>
          <w:rFonts w:ascii="Arial"/>
          <w:sz w:val="20"/>
        </w:rPr>
      </w:pPr>
    </w:p>
    <w:p w14:paraId="2A027FD1" w14:textId="77777777" w:rsidR="0002133C" w:rsidRDefault="0002133C">
      <w:pPr>
        <w:pStyle w:val="Textoindependiente"/>
        <w:rPr>
          <w:rFonts w:ascii="Arial"/>
          <w:sz w:val="20"/>
        </w:rPr>
      </w:pPr>
    </w:p>
    <w:p w14:paraId="3CEE3EE1" w14:textId="77777777" w:rsidR="0002133C" w:rsidRDefault="0002133C">
      <w:pPr>
        <w:pStyle w:val="Textoindependiente"/>
        <w:rPr>
          <w:rFonts w:ascii="Arial"/>
          <w:sz w:val="20"/>
        </w:rPr>
      </w:pPr>
    </w:p>
    <w:p w14:paraId="1AEF224B" w14:textId="77777777" w:rsidR="0002133C" w:rsidRDefault="0002133C">
      <w:pPr>
        <w:pStyle w:val="Textoindependiente"/>
        <w:rPr>
          <w:rFonts w:ascii="Arial"/>
          <w:sz w:val="20"/>
        </w:rPr>
      </w:pPr>
    </w:p>
    <w:p w14:paraId="630367F1" w14:textId="77777777" w:rsidR="0002133C" w:rsidRDefault="0002133C">
      <w:pPr>
        <w:pStyle w:val="Textoindependiente"/>
        <w:rPr>
          <w:rFonts w:ascii="Arial"/>
          <w:sz w:val="20"/>
        </w:rPr>
      </w:pPr>
    </w:p>
    <w:p w14:paraId="14B77A72" w14:textId="77777777" w:rsidR="0002133C" w:rsidRDefault="0002133C">
      <w:pPr>
        <w:pStyle w:val="Textoindependiente"/>
        <w:rPr>
          <w:rFonts w:ascii="Arial"/>
          <w:sz w:val="20"/>
        </w:rPr>
      </w:pPr>
    </w:p>
    <w:p w14:paraId="5DE11E7C" w14:textId="77777777" w:rsidR="0002133C" w:rsidRDefault="0002133C">
      <w:pPr>
        <w:pStyle w:val="Textoindependiente"/>
        <w:rPr>
          <w:rFonts w:ascii="Arial"/>
          <w:sz w:val="20"/>
        </w:rPr>
      </w:pPr>
    </w:p>
    <w:p w14:paraId="205B684B" w14:textId="77777777" w:rsidR="0002133C" w:rsidRDefault="0002133C">
      <w:pPr>
        <w:pStyle w:val="Textoindependiente"/>
        <w:rPr>
          <w:rFonts w:ascii="Arial"/>
          <w:sz w:val="20"/>
        </w:rPr>
      </w:pPr>
    </w:p>
    <w:p w14:paraId="6DBCD8A4" w14:textId="77777777" w:rsidR="0002133C" w:rsidRDefault="0002133C">
      <w:pPr>
        <w:pStyle w:val="Textoindependiente"/>
        <w:rPr>
          <w:rFonts w:ascii="Arial"/>
          <w:sz w:val="20"/>
        </w:rPr>
      </w:pPr>
    </w:p>
    <w:p w14:paraId="00CFEBCA" w14:textId="77777777" w:rsidR="0002133C" w:rsidRDefault="0002133C">
      <w:pPr>
        <w:pStyle w:val="Textoindependiente"/>
        <w:rPr>
          <w:rFonts w:ascii="Arial"/>
          <w:sz w:val="20"/>
        </w:rPr>
      </w:pPr>
    </w:p>
    <w:p w14:paraId="4395608D" w14:textId="77777777" w:rsidR="0002133C" w:rsidRDefault="0002133C">
      <w:pPr>
        <w:pStyle w:val="Textoindependiente"/>
        <w:rPr>
          <w:rFonts w:ascii="Arial"/>
          <w:sz w:val="20"/>
        </w:rPr>
      </w:pPr>
    </w:p>
    <w:p w14:paraId="54A5D598" w14:textId="77777777" w:rsidR="0002133C" w:rsidRDefault="0002133C">
      <w:pPr>
        <w:pStyle w:val="Textoindependiente"/>
        <w:rPr>
          <w:rFonts w:ascii="Arial"/>
          <w:sz w:val="20"/>
        </w:rPr>
      </w:pPr>
    </w:p>
    <w:p w14:paraId="78FFFB63" w14:textId="77777777" w:rsidR="0002133C" w:rsidRDefault="0002133C">
      <w:pPr>
        <w:pStyle w:val="Textoindependiente"/>
        <w:rPr>
          <w:rFonts w:ascii="Arial"/>
          <w:sz w:val="20"/>
        </w:rPr>
      </w:pPr>
    </w:p>
    <w:p w14:paraId="0F5BF6A2" w14:textId="77777777" w:rsidR="0002133C" w:rsidRDefault="0002133C">
      <w:pPr>
        <w:pStyle w:val="Textoindependiente"/>
        <w:rPr>
          <w:rFonts w:ascii="Arial"/>
          <w:sz w:val="20"/>
        </w:rPr>
      </w:pPr>
    </w:p>
    <w:p w14:paraId="56116D75" w14:textId="77777777" w:rsidR="0002133C" w:rsidRDefault="0002133C">
      <w:pPr>
        <w:pStyle w:val="Textoindependiente"/>
        <w:rPr>
          <w:rFonts w:ascii="Arial"/>
          <w:sz w:val="20"/>
        </w:rPr>
      </w:pPr>
    </w:p>
    <w:p w14:paraId="75A0FBB7" w14:textId="77777777" w:rsidR="0002133C" w:rsidRDefault="0002133C">
      <w:pPr>
        <w:pStyle w:val="Textoindependiente"/>
        <w:rPr>
          <w:rFonts w:ascii="Arial"/>
          <w:sz w:val="20"/>
        </w:rPr>
      </w:pPr>
    </w:p>
    <w:p w14:paraId="3BE58FFF" w14:textId="77777777" w:rsidR="0002133C" w:rsidRDefault="0002133C">
      <w:pPr>
        <w:pStyle w:val="Textoindependiente"/>
        <w:rPr>
          <w:rFonts w:ascii="Arial"/>
          <w:sz w:val="20"/>
        </w:rPr>
      </w:pPr>
    </w:p>
    <w:p w14:paraId="70D1EE7E" w14:textId="77777777" w:rsidR="0002133C" w:rsidRDefault="0002133C">
      <w:pPr>
        <w:pStyle w:val="Textoindependiente"/>
        <w:rPr>
          <w:rFonts w:ascii="Arial"/>
          <w:sz w:val="20"/>
        </w:rPr>
      </w:pPr>
    </w:p>
    <w:p w14:paraId="40B75534" w14:textId="77777777" w:rsidR="0002133C" w:rsidRDefault="0002133C">
      <w:pPr>
        <w:pStyle w:val="Textoindependiente"/>
        <w:rPr>
          <w:rFonts w:ascii="Arial"/>
          <w:sz w:val="20"/>
        </w:rPr>
      </w:pPr>
    </w:p>
    <w:p w14:paraId="544C886D" w14:textId="77777777" w:rsidR="0002133C" w:rsidRDefault="0002133C">
      <w:pPr>
        <w:pStyle w:val="Textoindependiente"/>
        <w:rPr>
          <w:rFonts w:ascii="Arial"/>
          <w:sz w:val="20"/>
        </w:rPr>
      </w:pPr>
    </w:p>
    <w:p w14:paraId="171AA3F4" w14:textId="77777777" w:rsidR="0002133C" w:rsidRDefault="0002133C">
      <w:pPr>
        <w:pStyle w:val="Textoindependiente"/>
        <w:spacing w:before="101"/>
        <w:rPr>
          <w:rFonts w:ascii="Arial"/>
          <w:sz w:val="20"/>
        </w:rPr>
      </w:pPr>
    </w:p>
    <w:p w14:paraId="74107FC2" w14:textId="77777777" w:rsidR="0002133C" w:rsidRDefault="0002133C">
      <w:pPr>
        <w:pStyle w:val="Textoindependiente"/>
        <w:rPr>
          <w:rFonts w:ascii="Arial"/>
          <w:sz w:val="20"/>
        </w:rPr>
        <w:sectPr w:rsidR="0002133C">
          <w:footerReference w:type="default" r:id="rId7"/>
          <w:pgSz w:w="12240" w:h="15840"/>
          <w:pgMar w:top="1600" w:right="0" w:bottom="0" w:left="1440" w:header="0" w:footer="0" w:gutter="0"/>
          <w:cols w:space="720"/>
        </w:sectPr>
      </w:pPr>
    </w:p>
    <w:p w14:paraId="3802378E" w14:textId="77777777" w:rsidR="0002133C" w:rsidRDefault="00000000">
      <w:pPr>
        <w:spacing w:before="116" w:line="208" w:lineRule="auto"/>
        <w:ind w:left="2760"/>
        <w:jc w:val="both"/>
        <w:rPr>
          <w:rFonts w:ascii="Arial" w:hAnsi="Arial"/>
          <w:sz w:val="18"/>
        </w:rPr>
      </w:pPr>
      <w:r>
        <w:rPr>
          <w:rFonts w:ascii="Arial" w:hAnsi="Arial"/>
          <w:sz w:val="18"/>
        </w:rPr>
        <w:t>Este documento tiene firma electrónica y su original puede ser</w:t>
      </w:r>
      <w:r>
        <w:rPr>
          <w:rFonts w:ascii="Arial" w:hAnsi="Arial"/>
          <w:spacing w:val="40"/>
          <w:sz w:val="18"/>
        </w:rPr>
        <w:t xml:space="preserve"> </w:t>
      </w:r>
      <w:r>
        <w:rPr>
          <w:rFonts w:ascii="Arial" w:hAnsi="Arial"/>
          <w:sz w:val="18"/>
        </w:rPr>
        <w:t xml:space="preserve">validado en </w:t>
      </w:r>
      <w:hyperlink r:id="rId8">
        <w:r>
          <w:rPr>
            <w:rFonts w:ascii="Arial" w:hAnsi="Arial"/>
            <w:sz w:val="18"/>
          </w:rPr>
          <w:t>http://verificadoc.pjud.cl</w:t>
        </w:r>
      </w:hyperlink>
      <w:r>
        <w:rPr>
          <w:rFonts w:ascii="Arial" w:hAnsi="Arial"/>
          <w:sz w:val="18"/>
        </w:rPr>
        <w:t xml:space="preserve"> o en la tramitación de</w:t>
      </w:r>
      <w:r>
        <w:rPr>
          <w:rFonts w:ascii="Arial" w:hAnsi="Arial"/>
          <w:spacing w:val="40"/>
          <w:sz w:val="18"/>
        </w:rPr>
        <w:t xml:space="preserve"> </w:t>
      </w:r>
      <w:r>
        <w:rPr>
          <w:rFonts w:ascii="Arial" w:hAnsi="Arial"/>
          <w:sz w:val="18"/>
        </w:rPr>
        <w:t>la causa. En aquellos</w:t>
      </w:r>
      <w:r>
        <w:rPr>
          <w:rFonts w:ascii="Arial" w:hAnsi="Arial"/>
          <w:spacing w:val="40"/>
          <w:sz w:val="18"/>
        </w:rPr>
        <w:t xml:space="preserve"> </w:t>
      </w:r>
      <w:r>
        <w:rPr>
          <w:rFonts w:ascii="Arial" w:hAnsi="Arial"/>
          <w:sz w:val="18"/>
        </w:rPr>
        <w:t>documentos</w:t>
      </w:r>
      <w:r>
        <w:rPr>
          <w:rFonts w:ascii="Arial" w:hAnsi="Arial"/>
          <w:spacing w:val="40"/>
          <w:sz w:val="18"/>
        </w:rPr>
        <w:t xml:space="preserve"> </w:t>
      </w:r>
      <w:r>
        <w:rPr>
          <w:rFonts w:ascii="Arial" w:hAnsi="Arial"/>
          <w:sz w:val="18"/>
        </w:rPr>
        <w:t>en</w:t>
      </w:r>
      <w:r>
        <w:rPr>
          <w:rFonts w:ascii="Arial" w:hAnsi="Arial"/>
          <w:spacing w:val="40"/>
          <w:sz w:val="18"/>
        </w:rPr>
        <w:t xml:space="preserve"> </w:t>
      </w:r>
      <w:r>
        <w:rPr>
          <w:rFonts w:ascii="Arial" w:hAnsi="Arial"/>
          <w:sz w:val="18"/>
        </w:rPr>
        <w:t>que</w:t>
      </w:r>
      <w:r>
        <w:rPr>
          <w:rFonts w:ascii="Arial" w:hAnsi="Arial"/>
          <w:spacing w:val="40"/>
          <w:sz w:val="18"/>
        </w:rPr>
        <w:t xml:space="preserve"> </w:t>
      </w:r>
      <w:r>
        <w:rPr>
          <w:rFonts w:ascii="Arial" w:hAnsi="Arial"/>
          <w:sz w:val="18"/>
        </w:rPr>
        <w:t>se visualiza la hora, esta corresponde al horario establecido para Chile Continental.</w:t>
      </w:r>
    </w:p>
    <w:p w14:paraId="481A02A6" w14:textId="77777777" w:rsidR="0002133C" w:rsidRDefault="00000000">
      <w:pPr>
        <w:pStyle w:val="Textoindependiente"/>
        <w:spacing w:before="1" w:after="25"/>
        <w:rPr>
          <w:rFonts w:ascii="Arial"/>
          <w:sz w:val="5"/>
        </w:rPr>
      </w:pPr>
      <w:r>
        <w:br w:type="column"/>
      </w:r>
    </w:p>
    <w:p w14:paraId="28E47FC2" w14:textId="77777777" w:rsidR="0002133C" w:rsidRDefault="00000000">
      <w:pPr>
        <w:ind w:left="137"/>
        <w:rPr>
          <w:rFonts w:ascii="Arial"/>
          <w:sz w:val="20"/>
        </w:rPr>
      </w:pPr>
      <w:r>
        <w:rPr>
          <w:rFonts w:ascii="Arial"/>
          <w:noProof/>
          <w:sz w:val="20"/>
        </w:rPr>
        <w:drawing>
          <wp:inline distT="0" distB="0" distL="0" distR="0" wp14:anchorId="40302BFA" wp14:editId="1313F7C1">
            <wp:extent cx="1271587" cy="381476"/>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1271587" cy="381476"/>
                    </a:xfrm>
                    <a:prstGeom prst="rect">
                      <a:avLst/>
                    </a:prstGeom>
                  </pic:spPr>
                </pic:pic>
              </a:graphicData>
            </a:graphic>
          </wp:inline>
        </w:drawing>
      </w:r>
    </w:p>
    <w:p w14:paraId="61060D11" w14:textId="77777777" w:rsidR="0002133C" w:rsidRDefault="00000000">
      <w:pPr>
        <w:spacing w:before="9"/>
        <w:ind w:left="515"/>
        <w:rPr>
          <w:rFonts w:ascii="Arial"/>
          <w:sz w:val="16"/>
        </w:rPr>
      </w:pPr>
      <w:r>
        <w:rPr>
          <w:rFonts w:ascii="Arial"/>
          <w:spacing w:val="-2"/>
          <w:sz w:val="16"/>
        </w:rPr>
        <w:t>YKHUDEWFXHX</w:t>
      </w:r>
    </w:p>
    <w:sectPr w:rsidR="0002133C">
      <w:type w:val="continuous"/>
      <w:pgSz w:w="12240" w:h="15840"/>
      <w:pgMar w:top="1820" w:right="0" w:bottom="960" w:left="1440" w:header="0" w:footer="0" w:gutter="0"/>
      <w:cols w:num="2" w:space="720" w:equalWidth="0">
        <w:col w:w="8423" w:space="40"/>
        <w:col w:w="233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967908" w14:textId="77777777" w:rsidR="00720617" w:rsidRDefault="00720617">
      <w:r>
        <w:separator/>
      </w:r>
    </w:p>
  </w:endnote>
  <w:endnote w:type="continuationSeparator" w:id="0">
    <w:p w14:paraId="4F178DFD" w14:textId="77777777" w:rsidR="00720617" w:rsidRDefault="00720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130ACC" w14:textId="77777777" w:rsidR="0002133C" w:rsidRDefault="00000000">
    <w:pPr>
      <w:pStyle w:val="Textoindependiente"/>
      <w:spacing w:line="200" w:lineRule="exact"/>
      <w:rPr>
        <w:sz w:val="20"/>
      </w:rPr>
    </w:pPr>
    <w:r>
      <w:rPr>
        <w:noProof/>
        <w:sz w:val="20"/>
      </w:rPr>
      <w:drawing>
        <wp:anchor distT="0" distB="0" distL="0" distR="0" simplePos="0" relativeHeight="487483904" behindDoc="1" locked="0" layoutInCell="1" allowOverlap="1" wp14:anchorId="7B21E5E7" wp14:editId="5E7DC467">
          <wp:simplePos x="0" y="0"/>
          <wp:positionH relativeFrom="page">
            <wp:posOffset>6375400</wp:posOffset>
          </wp:positionH>
          <wp:positionV relativeFrom="page">
            <wp:posOffset>9448800</wp:posOffset>
          </wp:positionV>
          <wp:extent cx="1270000" cy="3810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70000" cy="381000"/>
                  </a:xfrm>
                  <a:prstGeom prst="rect">
                    <a:avLst/>
                  </a:prstGeom>
                </pic:spPr>
              </pic:pic>
            </a:graphicData>
          </a:graphic>
        </wp:anchor>
      </w:drawing>
    </w:r>
    <w:r>
      <w:rPr>
        <w:noProof/>
        <w:sz w:val="20"/>
      </w:rPr>
      <mc:AlternateContent>
        <mc:Choice Requires="wps">
          <w:drawing>
            <wp:anchor distT="0" distB="0" distL="0" distR="0" simplePos="0" relativeHeight="487484416" behindDoc="1" locked="0" layoutInCell="1" allowOverlap="1" wp14:anchorId="19E49C6E" wp14:editId="7251E8D9">
              <wp:simplePos x="0" y="0"/>
              <wp:positionH relativeFrom="page">
                <wp:posOffset>6602603</wp:posOffset>
              </wp:positionH>
              <wp:positionV relativeFrom="page">
                <wp:posOffset>9826724</wp:posOffset>
              </wp:positionV>
              <wp:extent cx="815975" cy="1390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975" cy="139065"/>
                      </a:xfrm>
                      <a:prstGeom prst="rect">
                        <a:avLst/>
                      </a:prstGeom>
                    </wps:spPr>
                    <wps:txbx>
                      <w:txbxContent>
                        <w:p w14:paraId="4B5EB236" w14:textId="77777777" w:rsidR="0002133C" w:rsidRDefault="00000000">
                          <w:pPr>
                            <w:spacing w:before="14"/>
                            <w:ind w:left="20"/>
                            <w:rPr>
                              <w:rFonts w:ascii="Arial"/>
                              <w:sz w:val="16"/>
                            </w:rPr>
                          </w:pPr>
                          <w:r>
                            <w:rPr>
                              <w:rFonts w:ascii="Arial"/>
                              <w:spacing w:val="-2"/>
                              <w:sz w:val="16"/>
                            </w:rPr>
                            <w:t>YKHUDEWFXHX</w:t>
                          </w:r>
                        </w:p>
                      </w:txbxContent>
                    </wps:txbx>
                    <wps:bodyPr wrap="square" lIns="0" tIns="0" rIns="0" bIns="0" rtlCol="0">
                      <a:noAutofit/>
                    </wps:bodyPr>
                  </wps:wsp>
                </a:graphicData>
              </a:graphic>
            </wp:anchor>
          </w:drawing>
        </mc:Choice>
        <mc:Fallback>
          <w:pict>
            <v:shapetype w14:anchorId="19E49C6E" id="_x0000_t202" coordsize="21600,21600" o:spt="202" path="m,l,21600r21600,l21600,xe">
              <v:stroke joinstyle="miter"/>
              <v:path gradientshapeok="t" o:connecttype="rect"/>
            </v:shapetype>
            <v:shape id="Textbox 2" o:spid="_x0000_s1026" type="#_x0000_t202" style="position:absolute;margin-left:519.9pt;margin-top:773.75pt;width:64.25pt;height:10.95pt;z-index:-1583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" filled="f" stroked="f">
              <v:textbox inset="0,0,0,0">
                <w:txbxContent>
                  <w:p w14:paraId="4B5EB236" w14:textId="77777777" w:rsidR="0002133C" w:rsidRDefault="00000000">
                    <w:pPr>
                      <w:spacing w:before="14"/>
                      <w:ind w:left="20"/>
                      <w:rPr>
                        <w:rFonts w:ascii="Arial"/>
                        <w:sz w:val="16"/>
                      </w:rPr>
                    </w:pPr>
                    <w:r>
                      <w:rPr>
                        <w:rFonts w:ascii="Arial"/>
                        <w:spacing w:val="-2"/>
                        <w:sz w:val="16"/>
                      </w:rPr>
                      <w:t>YKHUDEWFXHX</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F9E042" w14:textId="77777777" w:rsidR="0002133C" w:rsidRDefault="0002133C">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66671A" w14:textId="77777777" w:rsidR="00720617" w:rsidRDefault="00720617">
      <w:r>
        <w:separator/>
      </w:r>
    </w:p>
  </w:footnote>
  <w:footnote w:type="continuationSeparator" w:id="0">
    <w:p w14:paraId="6C32AD1D" w14:textId="77777777" w:rsidR="00720617" w:rsidRDefault="007206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2133C"/>
    <w:rsid w:val="0002133C"/>
    <w:rsid w:val="004E245B"/>
    <w:rsid w:val="00720617"/>
    <w:rsid w:val="00993C7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7743A"/>
  <w15:docId w15:val="{F7111FB4-4E96-4E8C-B687-E086B0A62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Ttulo">
    <w:name w:val="Title"/>
    <w:basedOn w:val="Normal"/>
    <w:uiPriority w:val="10"/>
    <w:qFormat/>
    <w:pPr>
      <w:ind w:left="1682"/>
    </w:pPr>
    <w:rPr>
      <w:b/>
      <w:bCs/>
      <w:sz w:val="24"/>
      <w:szCs w:val="24"/>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erificadoc.pjud.cl/" TargetMode="Externa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1427</Words>
  <Characters>7854</Characters>
  <Application>Microsoft Office Word</Application>
  <DocSecurity>0</DocSecurity>
  <Lines>65</Lines>
  <Paragraphs>18</Paragraphs>
  <ScaleCrop>false</ScaleCrop>
  <Company/>
  <LinksUpToDate>false</LinksUpToDate>
  <CharactersWithSpaces>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Pamela Andrea Jara Vidal</dc:creator>
  <cp:lastModifiedBy>Samsung</cp:lastModifiedBy>
  <cp:revision>3</cp:revision>
  <cp:lastPrinted>2026-11-01T18:18:00Z</cp:lastPrinted>
  <dcterms:created xsi:type="dcterms:W3CDTF">2026-11-01T18:17:00Z</dcterms:created>
  <dcterms:modified xsi:type="dcterms:W3CDTF">2026-11-01T18:18:00Z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2026-10-26T00:00:00Z</vt:filetime>
  </property>
  <property fmtid="{D5CDD505-2E9C-101B-9397-08002B2CF9AE}" pid="4" name="Creator">
    <vt:lpwstr>Writer</vt:lpwstr>
  </property>
  <property fmtid="{D5CDD505-2E9C-101B-9397-08002B2CF9AE}" pid="5" name="LastSaved">
    <vt:filetime>2026-11-01T00:00:00Z</vt:filetime>
  </property>
  <property fmtid="{D5CDD505-2E9C-101B-9397-08002B2CF9AE}" pid="6" name="Producer">
    <vt:lpwstr>OpenOffice.org 3.3; modified using iText® 5.5.0 ©2000-2013 iText Group NV (AGPL-version)</vt:lpwstr>
  </property>
  <property fmtid="{D5CDD505-2E9C-101B-9397-08002B2CF9AE}" pid="7" name="GrammarlyDocumentId">
    <vt:lpwstr>3ca603513de01972080ea86d3005636cc7e24d64204ea9530cf06b9bd47cb47f</vt:lpwstr>
  </property>
</Properties>
</file>