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90" w:right="5004"/>
        <w:jc w:val="center"/>
      </w:pPr>
      <w:r>
        <w:rPr/>
        <w:t>Santiago,</w:t>
      </w:r>
      <w:r>
        <w:rPr>
          <w:spacing w:val="-2"/>
        </w:rPr>
        <w:t> </w:t>
      </w:r>
      <w:r>
        <w:rPr/>
        <w:t>veintiséis</w:t>
      </w:r>
      <w:r>
        <w:rPr>
          <w:spacing w:val="-2"/>
        </w:rPr>
        <w:t> </w:t>
      </w:r>
      <w:r>
        <w:rPr/>
        <w:t>de</w:t>
      </w:r>
      <w:r>
        <w:rPr>
          <w:spacing w:val="-4"/>
        </w:rPr>
        <w:t> </w:t>
      </w:r>
      <w:r>
        <w:rPr/>
        <w:t>enero</w:t>
      </w:r>
      <w:r>
        <w:rPr>
          <w:spacing w:val="-4"/>
        </w:rPr>
        <w:t> </w:t>
      </w:r>
      <w:r>
        <w:rPr/>
        <w:t>de</w:t>
      </w:r>
      <w:r>
        <w:rPr>
          <w:spacing w:val="-3"/>
        </w:rPr>
        <w:t> </w:t>
      </w:r>
      <w:r>
        <w:rPr/>
        <w:t>dos</w:t>
      </w:r>
      <w:r>
        <w:rPr>
          <w:spacing w:val="-3"/>
        </w:rPr>
        <w:t> </w:t>
      </w:r>
      <w:r>
        <w:rPr/>
        <w:t>mil</w:t>
      </w:r>
      <w:r>
        <w:rPr>
          <w:spacing w:val="-3"/>
        </w:rPr>
        <w:t> </w:t>
      </w:r>
      <w:r>
        <w:rPr>
          <w:spacing w:val="-2"/>
        </w:rPr>
        <w:t>veintiséis.</w:t>
      </w:r>
    </w:p>
    <w:p>
      <w:pPr>
        <w:pStyle w:val="Heading1"/>
        <w:ind w:right="5004"/>
      </w:pPr>
      <w:r>
        <w:rPr/>
        <w:t>VISTOS</w:t>
      </w:r>
      <w:r>
        <w:rPr>
          <w:spacing w:val="-3"/>
        </w:rPr>
        <w:t> </w:t>
      </w:r>
      <w:r>
        <w:rPr/>
        <w:t>Y</w:t>
      </w:r>
      <w:r>
        <w:rPr>
          <w:spacing w:val="-4"/>
        </w:rPr>
        <w:t> </w:t>
      </w:r>
      <w:r>
        <w:rPr/>
        <w:t>TENIENDO</w:t>
      </w:r>
      <w:r>
        <w:rPr>
          <w:spacing w:val="-3"/>
        </w:rPr>
        <w:t> </w:t>
      </w:r>
      <w:r>
        <w:rPr>
          <w:spacing w:val="-2"/>
        </w:rPr>
        <w:t>PRESENTE:</w:t>
      </w:r>
    </w:p>
    <w:p>
      <w:pPr>
        <w:pStyle w:val="BodyText"/>
        <w:spacing w:line="360" w:lineRule="auto" w:before="138"/>
        <w:ind w:left="264" w:right="1626" w:firstLine="708"/>
        <w:jc w:val="both"/>
      </w:pPr>
      <w:r>
        <w:rPr>
          <w:rFonts w:ascii="Arial" w:hAnsi="Arial"/>
          <w:b/>
        </w:rPr>
        <w:t>1°.- </w:t>
      </w:r>
      <w:r>
        <w:rPr/>
        <w:t>Que, en este juicio ordinario, se ordenó dar cuenta de la admisibilidad del recurso de casación en el fondo interpuesto por la parte demandante en contra de la sentencia dictada por la Corte de Apelaciones de Temuco, la cual confirmó el fallo de primera instancia de once de octubre de dos mil veinticuatro, que rechazó la demanda.</w:t>
      </w:r>
    </w:p>
    <w:p>
      <w:pPr>
        <w:pStyle w:val="BodyText"/>
        <w:spacing w:line="360" w:lineRule="auto"/>
        <w:ind w:left="264" w:right="1618" w:firstLine="708"/>
        <w:jc w:val="both"/>
      </w:pPr>
      <w:r>
        <w:rPr>
          <w:rFonts w:ascii="Arial" w:hAnsi="Arial"/>
          <w:b/>
        </w:rPr>
        <w:t>2°.- </w:t>
      </w:r>
      <w:r>
        <w:rPr/>
        <w:t>Que, en concepto de la recurrente, la sentencia impugnada ha contravenido los artículos 23 y 35 de La Ley de Concesiones de Obras Públicas y, artículo 62 del Reglamento de dicha Ley, por lo que solicita la invalidación de la sentencia</w:t>
      </w:r>
      <w:r>
        <w:rPr>
          <w:spacing w:val="-3"/>
        </w:rPr>
        <w:t> </w:t>
      </w:r>
      <w:r>
        <w:rPr/>
        <w:t>recurrida,</w:t>
      </w:r>
      <w:r>
        <w:rPr>
          <w:spacing w:val="-4"/>
        </w:rPr>
        <w:t> </w:t>
      </w:r>
      <w:r>
        <w:rPr/>
        <w:t>dictando</w:t>
      </w:r>
      <w:r>
        <w:rPr>
          <w:spacing w:val="-5"/>
        </w:rPr>
        <w:t> </w:t>
      </w:r>
      <w:r>
        <w:rPr/>
        <w:t>otra</w:t>
      </w:r>
      <w:r>
        <w:rPr>
          <w:spacing w:val="-5"/>
        </w:rPr>
        <w:t> </w:t>
      </w:r>
      <w:r>
        <w:rPr/>
        <w:t>en</w:t>
      </w:r>
      <w:r>
        <w:rPr>
          <w:spacing w:val="-3"/>
        </w:rPr>
        <w:t> </w:t>
      </w:r>
      <w:r>
        <w:rPr/>
        <w:t>su</w:t>
      </w:r>
      <w:r>
        <w:rPr>
          <w:spacing w:val="-5"/>
        </w:rPr>
        <w:t> </w:t>
      </w:r>
      <w:r>
        <w:rPr/>
        <w:t>reemplazo</w:t>
      </w:r>
      <w:r>
        <w:rPr>
          <w:spacing w:val="-3"/>
        </w:rPr>
        <w:t> </w:t>
      </w:r>
      <w:r>
        <w:rPr/>
        <w:t>que</w:t>
      </w:r>
      <w:r>
        <w:rPr>
          <w:spacing w:val="-5"/>
        </w:rPr>
        <w:t> </w:t>
      </w:r>
      <w:r>
        <w:rPr/>
        <w:t>acoja</w:t>
      </w:r>
      <w:r>
        <w:rPr>
          <w:spacing w:val="-3"/>
        </w:rPr>
        <w:t> </w:t>
      </w:r>
      <w:r>
        <w:rPr/>
        <w:t>en</w:t>
      </w:r>
      <w:r>
        <w:rPr>
          <w:spacing w:val="-4"/>
        </w:rPr>
        <w:t> </w:t>
      </w:r>
      <w:r>
        <w:rPr/>
        <w:t>todas</w:t>
      </w:r>
      <w:r>
        <w:rPr>
          <w:spacing w:val="-3"/>
        </w:rPr>
        <w:t> </w:t>
      </w:r>
      <w:r>
        <w:rPr/>
        <w:t>sus</w:t>
      </w:r>
      <w:r>
        <w:rPr>
          <w:spacing w:val="-5"/>
        </w:rPr>
        <w:t> </w:t>
      </w:r>
      <w:r>
        <w:rPr/>
        <w:t>partes</w:t>
      </w:r>
      <w:r>
        <w:rPr>
          <w:spacing w:val="-2"/>
        </w:rPr>
        <w:t> </w:t>
      </w:r>
      <w:r>
        <w:rPr/>
        <w:t>la demanda de indemnización de perjuicios por responsabilidad extracontractual deducida en contra de Ruta De La Araucanía Sociedad Concesionaria S.A.</w:t>
      </w:r>
    </w:p>
    <w:p>
      <w:pPr>
        <w:pStyle w:val="BodyText"/>
        <w:spacing w:line="360" w:lineRule="auto"/>
        <w:ind w:left="264" w:right="1621" w:firstLine="708"/>
        <w:jc w:val="both"/>
      </w:pPr>
      <w:r>
        <w:rPr>
          <w:rFonts w:ascii="Arial" w:hAnsi="Arial"/>
          <w:b/>
        </w:rPr>
        <w:t>3°.- </w:t>
      </w:r>
      <w:r>
        <w:rPr/>
        <w:t>Que, de la lectura del libelo que contiene el recurso de casación en estudio es posible constatar, que la parte recurrente omitió extender la infracción legal denunciada a normas que, en la especie, tienen el carácter de decisoria de la litis, es decir, preceptos que al ser aplicados permiten resolver la cuestión controvertida, tales como los artículos 1437, 2284, 2314 y 2329 del Código Civil; exigencia que no se satisface con su sola mención al momento de</w:t>
      </w:r>
      <w:r>
        <w:rPr>
          <w:spacing w:val="-1"/>
        </w:rPr>
        <w:t> </w:t>
      </w:r>
      <w:r>
        <w:rPr/>
        <w:t>fundamentar las infracciones legales que sustenta el recurso de nulidad sustantivo.</w:t>
      </w:r>
    </w:p>
    <w:p>
      <w:pPr>
        <w:pStyle w:val="BodyText"/>
        <w:spacing w:line="360" w:lineRule="auto"/>
        <w:ind w:left="264" w:right="1619" w:firstLine="708"/>
        <w:jc w:val="both"/>
      </w:pPr>
      <w:r>
        <w:rPr/>
        <w:t>Siendo ello así, las normas indicadas en el recurso como infringidas no constituyen motivo plausible para dar acogida a la casación en el fondo que las contiene, por lo que cabe concluir que el recurso interpuesto adolece de manifiesta falta de fundamento.</w:t>
      </w:r>
    </w:p>
    <w:p>
      <w:pPr>
        <w:pStyle w:val="BodyText"/>
        <w:spacing w:line="360" w:lineRule="auto"/>
        <w:ind w:left="264" w:right="1616" w:firstLine="708"/>
        <w:jc w:val="both"/>
      </w:pPr>
      <w:r>
        <w:rPr>
          <w:rFonts w:ascii="Arial" w:hAnsi="Arial"/>
          <w:b/>
        </w:rPr>
        <w:t>4°.- </w:t>
      </w:r>
      <w:r>
        <w:rPr/>
        <w:t>Que, a mayor abundamiento, los argumentos sobre los cuales se</w:t>
      </w:r>
      <w:r>
        <w:rPr>
          <w:spacing w:val="40"/>
        </w:rPr>
        <w:t> </w:t>
      </w:r>
      <w:r>
        <w:rPr/>
        <w:t>elabora el recurso de casación en el fondo discurren sobre la base de hechos distintos de aquellos que quedaron establecidos en el fallo recurrido. En efecto, en la sentencia impugnada, luego de analizar la prueba rendida, se concluye que la demandante no logró acreditar fehacientemente daño alguno sufrido como consecuencia del hecho ilícito en que incurrió la demandada. Tales hechos, que constituyen el sustento de la decisión de rechazar la demanda, resultan</w:t>
      </w:r>
      <w:r>
        <w:rPr>
          <w:spacing w:val="40"/>
        </w:rPr>
        <w:t> </w:t>
      </w:r>
      <w:r>
        <w:rPr/>
        <w:t>inamovibles para este tribunal, desde que no han sido impugnados mediante la denuncia de infracción a leyes reguladoras de la prueba, la que, de ser efectiva, permitiría variarlos y, de ese modo, arribar a las conclusiones que pretende el </w:t>
      </w:r>
      <w:r>
        <w:rPr>
          <w:spacing w:val="-2"/>
        </w:rPr>
        <w:t>recurrente.</w:t>
      </w:r>
    </w:p>
    <w:p>
      <w:pPr>
        <w:pStyle w:val="BodyText"/>
        <w:spacing w:line="360" w:lineRule="auto" w:before="1"/>
        <w:ind w:left="264" w:right="1609" w:firstLine="708"/>
        <w:jc w:val="both"/>
      </w:pPr>
      <w:r>
        <w:rPr/>
        <w:t>Por estas consideraciones y de</w:t>
      </w:r>
      <w:r>
        <w:rPr>
          <w:spacing w:val="-1"/>
        </w:rPr>
        <w:t> </w:t>
      </w:r>
      <w:r>
        <w:rPr/>
        <w:t>conformidad además con lo dispuesto en los artículos 767, 772 y 782 del Código de Procedimiento Civil, </w:t>
      </w:r>
      <w:r>
        <w:rPr>
          <w:rFonts w:ascii="Arial" w:hAnsi="Arial"/>
          <w:b/>
        </w:rPr>
        <w:t>se rechaza </w:t>
      </w:r>
      <w:r>
        <w:rPr/>
        <w:t>el recurso de casación en el fondo interpuesto por la abogada Marcia Carrasco Caamaño en</w:t>
      </w:r>
    </w:p>
    <w:p>
      <w:pPr>
        <w:pStyle w:val="BodyText"/>
        <w:spacing w:after="0" w:line="360" w:lineRule="auto"/>
        <w:jc w:val="both"/>
        <w:sectPr>
          <w:footerReference w:type="default" r:id="rId5"/>
          <w:type w:val="continuous"/>
          <w:pgSz w:w="12240" w:h="18720"/>
          <w:pgMar w:header="0" w:footer="760" w:top="1340" w:bottom="960" w:left="1440" w:right="0"/>
          <w:pgNumType w:start="1"/>
        </w:sectPr>
      </w:pPr>
    </w:p>
    <w:p>
      <w:pPr>
        <w:pStyle w:val="BodyText"/>
        <w:spacing w:line="360" w:lineRule="auto" w:before="77"/>
        <w:ind w:left="264" w:right="1622"/>
        <w:jc w:val="both"/>
      </w:pPr>
      <w:r>
        <w:rPr/>
        <w:t>representación de la parte demandante, en contra de la sentencia dictada por la Corte de Apelaciones de Temuco, de fecha cuatro de diciembre de dos mil </w:t>
      </w:r>
      <w:r>
        <w:rPr>
          <w:spacing w:val="-2"/>
        </w:rPr>
        <w:t>veinticinco.</w:t>
      </w:r>
    </w:p>
    <w:p>
      <w:pPr>
        <w:pStyle w:val="BodyText"/>
        <w:ind w:left="971"/>
        <w:jc w:val="both"/>
      </w:pPr>
      <w:r>
        <w:rPr/>
        <w:t>Regístrese</w:t>
      </w:r>
      <w:r>
        <w:rPr>
          <w:spacing w:val="-3"/>
        </w:rPr>
        <w:t> </w:t>
      </w:r>
      <w:r>
        <w:rPr/>
        <w:t>y</w:t>
      </w:r>
      <w:r>
        <w:rPr>
          <w:spacing w:val="-4"/>
        </w:rPr>
        <w:t> </w:t>
      </w:r>
      <w:r>
        <w:rPr>
          <w:spacing w:val="-2"/>
        </w:rPr>
        <w:t>devuélvase.</w:t>
      </w:r>
    </w:p>
    <w:p>
      <w:pPr>
        <w:pStyle w:val="Heading1"/>
        <w:ind w:left="971"/>
        <w:jc w:val="both"/>
      </w:pPr>
      <w:r>
        <w:rPr/>
        <w:t>Rol</w:t>
      </w:r>
      <w:r>
        <w:rPr>
          <w:spacing w:val="-3"/>
        </w:rPr>
        <w:t> </w:t>
      </w:r>
      <w:r>
        <w:rPr/>
        <w:t>Nº 248</w:t>
      </w:r>
      <w:r>
        <w:rPr>
          <w:spacing w:val="-4"/>
        </w:rPr>
        <w:t> </w:t>
      </w:r>
      <w:r>
        <w:rPr/>
        <w:t>-</w:t>
      </w:r>
      <w:r>
        <w:rPr>
          <w:spacing w:val="1"/>
        </w:rPr>
        <w:t> </w:t>
      </w:r>
      <w:r>
        <w:rPr>
          <w:spacing w:val="-4"/>
        </w:rPr>
        <w:t>2026</w:t>
      </w:r>
    </w:p>
    <w:p>
      <w:pPr>
        <w:pStyle w:val="BodyText"/>
        <w:rPr>
          <w:rFonts w:ascii="Arial"/>
          <w:b/>
          <w:sz w:val="20"/>
        </w:rPr>
      </w:pPr>
    </w:p>
    <w:p>
      <w:pPr>
        <w:pStyle w:val="BodyText"/>
        <w:rPr>
          <w:rFonts w:ascii="Arial"/>
          <w:b/>
          <w:sz w:val="20"/>
        </w:rPr>
      </w:pPr>
    </w:p>
    <w:p>
      <w:pPr>
        <w:pStyle w:val="BodyText"/>
        <w:spacing w:before="35"/>
        <w:rPr>
          <w:rFonts w:ascii="Arial"/>
          <w:b/>
          <w:sz w:val="20"/>
        </w:rPr>
      </w:pPr>
    </w:p>
    <w:p>
      <w:pPr>
        <w:pStyle w:val="BodyText"/>
        <w:spacing w:after="0"/>
        <w:rPr>
          <w:rFonts w:ascii="Arial"/>
          <w:b/>
          <w:sz w:val="20"/>
        </w:rPr>
        <w:sectPr>
          <w:pgSz w:w="12240" w:h="18720"/>
          <w:pgMar w:header="0" w:footer="760" w:top="1340" w:bottom="960" w:left="1440" w:right="0"/>
        </w:sectPr>
      </w:pPr>
    </w:p>
    <w:p>
      <w:pPr>
        <w:pStyle w:val="Heading2"/>
        <w:spacing w:line="208" w:lineRule="auto" w:before="121"/>
      </w:pPr>
      <w:r>
        <w:rPr/>
        <w:t>ARTURO</w:t>
      </w:r>
      <w:r>
        <w:rPr>
          <w:spacing w:val="-13"/>
        </w:rPr>
        <w:t> </w:t>
      </w:r>
      <w:r>
        <w:rPr/>
        <w:t>JOSE</w:t>
      </w:r>
      <w:r>
        <w:rPr>
          <w:spacing w:val="-13"/>
        </w:rPr>
        <w:t> </w:t>
      </w:r>
      <w:r>
        <w:rPr/>
        <w:t>PRADO</w:t>
      </w:r>
      <w:r>
        <w:rPr>
          <w:spacing w:val="-13"/>
        </w:rPr>
        <w:t> </w:t>
      </w:r>
      <w:r>
        <w:rPr/>
        <w:t>PUGA </w:t>
      </w:r>
      <w:r>
        <w:rPr>
          <w:spacing w:val="-2"/>
        </w:rPr>
        <w:t>MINISTRO</w:t>
      </w:r>
    </w:p>
    <w:p>
      <w:pPr>
        <w:pStyle w:val="BodyText"/>
        <w:spacing w:line="247" w:lineRule="exact"/>
        <w:ind w:left="240"/>
      </w:pPr>
      <w:r>
        <w:rPr/>
        <w:t>Fecha: 26/01/2026 </w:t>
      </w:r>
      <w:r>
        <w:rPr>
          <w:spacing w:val="-2"/>
        </w:rPr>
        <w:t>12:44:28</w:t>
      </w:r>
    </w:p>
    <w:p>
      <w:pPr>
        <w:pStyle w:val="Heading2"/>
        <w:spacing w:line="208" w:lineRule="auto" w:before="121"/>
        <w:ind w:right="794"/>
      </w:pPr>
      <w:r>
        <w:rPr/>
        <w:br w:type="column"/>
      </w:r>
      <w:r>
        <w:rPr/>
        <w:t>MAURICIO</w:t>
      </w:r>
      <w:r>
        <w:rPr>
          <w:spacing w:val="-13"/>
        </w:rPr>
        <w:t> </w:t>
      </w:r>
      <w:r>
        <w:rPr/>
        <w:t>ALONSO</w:t>
      </w:r>
      <w:r>
        <w:rPr>
          <w:spacing w:val="-13"/>
        </w:rPr>
        <w:t> </w:t>
      </w:r>
      <w:r>
        <w:rPr/>
        <w:t>SILVA</w:t>
      </w:r>
      <w:r>
        <w:rPr>
          <w:spacing w:val="-13"/>
        </w:rPr>
        <w:t> </w:t>
      </w:r>
      <w:r>
        <w:rPr/>
        <w:t>CANCINO </w:t>
      </w:r>
      <w:r>
        <w:rPr>
          <w:spacing w:val="-2"/>
        </w:rPr>
        <w:t>MINISTRO</w:t>
      </w:r>
    </w:p>
    <w:p>
      <w:pPr>
        <w:pStyle w:val="BodyText"/>
        <w:spacing w:line="247" w:lineRule="exact"/>
        <w:ind w:left="240"/>
      </w:pPr>
      <w:r>
        <w:rPr/>
        <w:t>Fecha: 26/01/2026 </w:t>
      </w:r>
      <w:r>
        <w:rPr>
          <w:spacing w:val="-2"/>
        </w:rPr>
        <w:t>12:44:29</w:t>
      </w:r>
    </w:p>
    <w:p>
      <w:pPr>
        <w:pStyle w:val="BodyText"/>
        <w:spacing w:after="0" w:line="247" w:lineRule="exact"/>
        <w:sectPr>
          <w:type w:val="continuous"/>
          <w:pgSz w:w="12240" w:h="18720"/>
          <w:pgMar w:header="0" w:footer="760" w:top="1340" w:bottom="960" w:left="1440" w:right="0"/>
          <w:cols w:num="2" w:equalWidth="0">
            <w:col w:w="3654" w:space="826"/>
            <w:col w:w="632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2"/>
        <w:rPr>
          <w:sz w:val="20"/>
        </w:rPr>
      </w:pPr>
    </w:p>
    <w:p>
      <w:pPr>
        <w:pStyle w:val="BodyText"/>
        <w:spacing w:after="0"/>
        <w:rPr>
          <w:sz w:val="20"/>
        </w:rPr>
        <w:sectPr>
          <w:type w:val="continuous"/>
          <w:pgSz w:w="12240" w:h="18720"/>
          <w:pgMar w:header="0" w:footer="760" w:top="1340" w:bottom="960" w:left="1440" w:right="0"/>
        </w:sectPr>
      </w:pPr>
    </w:p>
    <w:p>
      <w:pPr>
        <w:pStyle w:val="Heading2"/>
        <w:spacing w:line="208" w:lineRule="auto" w:before="122"/>
      </w:pPr>
      <w:r>
        <w:rPr/>
        <w:t>MARIA</w:t>
      </w:r>
      <w:r>
        <w:rPr>
          <w:spacing w:val="-14"/>
        </w:rPr>
        <w:t> </w:t>
      </w:r>
      <w:r>
        <w:rPr/>
        <w:t>ANGELICA</w:t>
      </w:r>
      <w:r>
        <w:rPr>
          <w:spacing w:val="-14"/>
        </w:rPr>
        <w:t> </w:t>
      </w:r>
      <w:r>
        <w:rPr/>
        <w:t>CECILIA</w:t>
      </w:r>
      <w:r>
        <w:rPr>
          <w:spacing w:val="-14"/>
        </w:rPr>
        <w:t> </w:t>
      </w:r>
      <w:r>
        <w:rPr/>
        <w:t>REPETTO </w:t>
      </w:r>
      <w:r>
        <w:rPr>
          <w:spacing w:val="-2"/>
        </w:rPr>
        <w:t>GARCIA</w:t>
      </w:r>
    </w:p>
    <w:p>
      <w:pPr>
        <w:spacing w:line="229" w:lineRule="exact" w:before="0"/>
        <w:ind w:left="240" w:right="0" w:firstLine="0"/>
        <w:jc w:val="left"/>
        <w:rPr>
          <w:sz w:val="24"/>
        </w:rPr>
      </w:pPr>
      <w:r>
        <w:rPr>
          <w:spacing w:val="-2"/>
          <w:sz w:val="24"/>
        </w:rPr>
        <w:t>MINISTRA</w:t>
      </w:r>
    </w:p>
    <w:p>
      <w:pPr>
        <w:pStyle w:val="BodyText"/>
        <w:spacing w:line="258" w:lineRule="exact"/>
        <w:ind w:left="240"/>
      </w:pPr>
      <w:r>
        <w:rPr/>
        <w:t>Fecha: 26/01/2026 </w:t>
      </w:r>
      <w:r>
        <w:rPr>
          <w:spacing w:val="-2"/>
        </w:rPr>
        <w:t>12:44:29</w:t>
      </w:r>
    </w:p>
    <w:p>
      <w:pPr>
        <w:pStyle w:val="Heading2"/>
        <w:spacing w:line="208" w:lineRule="auto" w:before="122"/>
        <w:ind w:left="199" w:right="2797"/>
      </w:pPr>
      <w:r>
        <w:rPr/>
        <w:br w:type="column"/>
      </w:r>
      <w:r>
        <w:rPr/>
        <w:t>MARIO</w:t>
      </w:r>
      <w:r>
        <w:rPr>
          <w:spacing w:val="-17"/>
        </w:rPr>
        <w:t> </w:t>
      </w:r>
      <w:r>
        <w:rPr/>
        <w:t>ROLANDO</w:t>
      </w:r>
      <w:r>
        <w:rPr>
          <w:spacing w:val="-17"/>
        </w:rPr>
        <w:t> </w:t>
      </w:r>
      <w:r>
        <w:rPr/>
        <w:t>CARROZA </w:t>
      </w:r>
      <w:r>
        <w:rPr>
          <w:spacing w:val="-2"/>
        </w:rPr>
        <w:t>ESPINOSA</w:t>
      </w:r>
    </w:p>
    <w:p>
      <w:pPr>
        <w:spacing w:line="229" w:lineRule="exact" w:before="0"/>
        <w:ind w:left="199" w:right="0" w:firstLine="0"/>
        <w:jc w:val="left"/>
        <w:rPr>
          <w:sz w:val="24"/>
        </w:rPr>
      </w:pPr>
      <w:r>
        <w:rPr>
          <w:spacing w:val="-2"/>
          <w:sz w:val="24"/>
        </w:rPr>
        <w:t>MINISTRO</w:t>
      </w:r>
    </w:p>
    <w:p>
      <w:pPr>
        <w:pStyle w:val="BodyText"/>
        <w:spacing w:line="258" w:lineRule="exact"/>
        <w:ind w:left="199"/>
      </w:pPr>
      <w:r>
        <w:rPr/>
        <w:t>Fecha: 26/01/2026 </w:t>
      </w:r>
      <w:r>
        <w:rPr>
          <w:spacing w:val="-2"/>
        </w:rPr>
        <w:t>12:44:30</w:t>
      </w:r>
    </w:p>
    <w:p>
      <w:pPr>
        <w:pStyle w:val="BodyText"/>
        <w:spacing w:after="0" w:line="258" w:lineRule="exact"/>
        <w:sectPr>
          <w:type w:val="continuous"/>
          <w:pgSz w:w="12240" w:h="18720"/>
          <w:pgMar w:header="0" w:footer="760" w:top="1340" w:bottom="960" w:left="1440" w:right="0"/>
          <w:cols w:num="2" w:equalWidth="0">
            <w:col w:w="4481" w:space="40"/>
            <w:col w:w="6279"/>
          </w:cols>
        </w:sectPr>
      </w:pPr>
    </w:p>
    <w:p>
      <w:pPr>
        <w:pStyle w:val="BodyText"/>
      </w:pPr>
    </w:p>
    <w:p>
      <w:pPr>
        <w:pStyle w:val="BodyText"/>
      </w:pPr>
    </w:p>
    <w:p>
      <w:pPr>
        <w:pStyle w:val="BodyText"/>
      </w:pPr>
    </w:p>
    <w:p>
      <w:pPr>
        <w:pStyle w:val="BodyText"/>
      </w:pPr>
    </w:p>
    <w:p>
      <w:pPr>
        <w:pStyle w:val="BodyText"/>
        <w:spacing w:before="153"/>
      </w:pPr>
    </w:p>
    <w:p>
      <w:pPr>
        <w:pStyle w:val="Heading2"/>
        <w:spacing w:line="208" w:lineRule="auto"/>
        <w:ind w:right="5190"/>
      </w:pPr>
      <w:r>
        <w:rPr/>
        <w:t>ALVARO</w:t>
      </w:r>
      <w:r>
        <w:rPr>
          <w:spacing w:val="-13"/>
        </w:rPr>
        <w:t> </w:t>
      </w:r>
      <w:r>
        <w:rPr/>
        <w:t>RODRIGO</w:t>
      </w:r>
      <w:r>
        <w:rPr>
          <w:spacing w:val="-13"/>
        </w:rPr>
        <w:t> </w:t>
      </w:r>
      <w:r>
        <w:rPr/>
        <w:t>VIDAL</w:t>
      </w:r>
      <w:r>
        <w:rPr>
          <w:spacing w:val="-13"/>
        </w:rPr>
        <w:t> </w:t>
      </w:r>
      <w:r>
        <w:rPr/>
        <w:t>OLIVARES ABOGADO INTEGRANTE</w:t>
      </w:r>
    </w:p>
    <w:p>
      <w:pPr>
        <w:pStyle w:val="BodyText"/>
        <w:spacing w:line="247" w:lineRule="exact"/>
        <w:ind w:left="240"/>
      </w:pPr>
      <w:r>
        <w:rPr/>
        <w:t>Fecha: 26/01/2026 </w:t>
      </w:r>
      <w:r>
        <w:rPr>
          <w:spacing w:val="-2"/>
        </w:rPr>
        <w:t>12:44:31</w:t>
      </w:r>
    </w:p>
    <w:p>
      <w:pPr>
        <w:pStyle w:val="BodyText"/>
        <w:spacing w:after="0" w:line="247" w:lineRule="exact"/>
        <w:sectPr>
          <w:type w:val="continuous"/>
          <w:pgSz w:w="12240" w:h="18720"/>
          <w:pgMar w:header="0" w:footer="760" w:top="1340" w:bottom="960" w:left="1440" w:right="0"/>
        </w:sectPr>
      </w:pPr>
    </w:p>
    <w:p>
      <w:pPr>
        <w:pStyle w:val="BodyText"/>
        <w:spacing w:line="261" w:lineRule="auto" w:before="75"/>
        <w:ind w:left="560" w:right="1990"/>
        <w:jc w:val="both"/>
      </w:pPr>
      <w:r>
        <w:rPr/>
        <w:t>Pronunciado por la Primera Sala de la Corte Suprema integrada por los Ministros (as) Arturo Prado P., Mauricio Alonso Silva C., María Angélica Cecilia Repetto G., Mario Carroza E. y Abogado Integrante Álvaro Rodrigo Vidal O. Santiago, veintiséis de enero de dos mil veintiséis.</w:t>
      </w:r>
    </w:p>
    <w:p>
      <w:pPr>
        <w:pStyle w:val="BodyText"/>
        <w:spacing w:before="20"/>
      </w:pPr>
    </w:p>
    <w:p>
      <w:pPr>
        <w:pStyle w:val="BodyText"/>
        <w:spacing w:line="261" w:lineRule="auto"/>
        <w:ind w:left="560" w:right="1991"/>
        <w:jc w:val="both"/>
      </w:pPr>
      <w:r>
        <w:rPr/>
        <w:t>En Santiago, a veintiséis de enero de dos mil veintiséis, se incluyó en el Estado Diario la resolución precedente.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pStyle w:val="BodyText"/>
        <w:spacing w:after="0"/>
        <w:rPr>
          <w:sz w:val="20"/>
        </w:rPr>
        <w:sectPr>
          <w:footerReference w:type="default" r:id="rId6"/>
          <w:pgSz w:w="12240" w:h="18720"/>
          <w:pgMar w:header="0" w:footer="0" w:top="1000" w:bottom="0" w:left="1440" w:right="0"/>
        </w:sectPr>
      </w:pPr>
    </w:p>
    <w:p>
      <w:pPr>
        <w:spacing w:line="208" w:lineRule="auto" w:before="116"/>
        <w:ind w:left="2760" w:right="0" w:firstLine="0"/>
        <w:jc w:val="both"/>
        <w:rPr>
          <w:sz w:val="18"/>
        </w:rPr>
      </w:pPr>
      <w:r>
        <w:rPr>
          <w:sz w:val="18"/>
        </w:rPr>
        <w:t>Este documento tiene firma electrónica y su original puede ser</w:t>
      </w:r>
      <w:r>
        <w:rPr>
          <w:spacing w:val="40"/>
          <w:sz w:val="18"/>
        </w:rPr>
        <w:t> </w:t>
      </w:r>
      <w:r>
        <w:rPr>
          <w:sz w:val="18"/>
        </w:rPr>
        <w:t>validado en </w:t>
      </w:r>
      <w:hyperlink r:id="rId7">
        <w:r>
          <w:rPr>
            <w:sz w:val="18"/>
          </w:rPr>
          <w:t>http://verificadoc.pjud.cl</w:t>
        </w:r>
      </w:hyperlink>
      <w:r>
        <w:rPr>
          <w:sz w:val="18"/>
        </w:rPr>
        <w:t> o en la tramitación de</w:t>
      </w:r>
      <w:r>
        <w:rPr>
          <w:spacing w:val="40"/>
          <w:sz w:val="18"/>
        </w:rPr>
        <w:t> </w:t>
      </w:r>
      <w:r>
        <w:rPr>
          <w:sz w:val="18"/>
        </w:rPr>
        <w:t>la causa. En aquellos</w:t>
      </w:r>
      <w:r>
        <w:rPr>
          <w:spacing w:val="40"/>
          <w:sz w:val="18"/>
        </w:rPr>
        <w:t> </w:t>
      </w:r>
      <w:r>
        <w:rPr>
          <w:sz w:val="18"/>
        </w:rPr>
        <w:t>documentos</w:t>
      </w:r>
      <w:r>
        <w:rPr>
          <w:spacing w:val="40"/>
          <w:sz w:val="18"/>
        </w:rPr>
        <w:t> </w:t>
      </w:r>
      <w:r>
        <w:rPr>
          <w:sz w:val="18"/>
        </w:rPr>
        <w:t>en</w:t>
      </w:r>
      <w:r>
        <w:rPr>
          <w:spacing w:val="40"/>
          <w:sz w:val="18"/>
        </w:rPr>
        <w:t> </w:t>
      </w:r>
      <w:r>
        <w:rPr>
          <w:sz w:val="18"/>
        </w:rPr>
        <w:t>que</w:t>
      </w:r>
      <w:r>
        <w:rPr>
          <w:spacing w:val="40"/>
          <w:sz w:val="18"/>
        </w:rPr>
        <w:t> </w:t>
      </w:r>
      <w:r>
        <w:rPr>
          <w:sz w:val="18"/>
        </w:rPr>
        <w:t>se visualiza la hora, esta corresponde al horario establecido para Chile Continental.</w:t>
      </w:r>
    </w:p>
    <w:p>
      <w:pPr>
        <w:spacing w:line="240" w:lineRule="auto" w:before="1" w:after="25"/>
        <w:rPr>
          <w:sz w:val="5"/>
        </w:rPr>
      </w:pPr>
      <w:r>
        <w:rPr/>
        <w:br w:type="column"/>
      </w:r>
      <w:r>
        <w:rPr>
          <w:sz w:val="5"/>
        </w:rPr>
      </w:r>
    </w:p>
    <w:p>
      <w:pPr>
        <w:pStyle w:val="BodyText"/>
        <w:ind w:left="137"/>
        <w:rPr>
          <w:sz w:val="20"/>
        </w:rPr>
      </w:pPr>
      <w:r>
        <w:rPr>
          <w:sz w:val="20"/>
        </w:rPr>
        <w:drawing>
          <wp:inline distT="0" distB="0" distL="0" distR="0">
            <wp:extent cx="1271587" cy="381476"/>
            <wp:effectExtent l="0" t="0" r="0" b="0"/>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1271587" cy="381476"/>
                    </a:xfrm>
                    <a:prstGeom prst="rect">
                      <a:avLst/>
                    </a:prstGeom>
                  </pic:spPr>
                </pic:pic>
              </a:graphicData>
            </a:graphic>
          </wp:inline>
        </w:drawing>
      </w:r>
      <w:r>
        <w:rPr>
          <w:sz w:val="20"/>
        </w:rPr>
      </w:r>
    </w:p>
    <w:p>
      <w:pPr>
        <w:spacing w:before="9"/>
        <w:ind w:left="554" w:right="0" w:firstLine="0"/>
        <w:jc w:val="left"/>
        <w:rPr>
          <w:sz w:val="16"/>
        </w:rPr>
      </w:pPr>
      <w:r>
        <w:rPr>
          <w:spacing w:val="-2"/>
          <w:sz w:val="16"/>
        </w:rPr>
        <w:t>DZTXBSEBDSF</w:t>
      </w:r>
    </w:p>
    <w:sectPr>
      <w:type w:val="continuous"/>
      <w:pgSz w:w="12240" w:h="18720"/>
      <w:pgMar w:header="0" w:footer="0" w:top="1340" w:bottom="960" w:left="1440" w:right="0"/>
      <w:cols w:num="2" w:equalWidth="0">
        <w:col w:w="8423" w:space="40"/>
        <w:col w:w="2337"/>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04896">
          <wp:simplePos x="0" y="0"/>
          <wp:positionH relativeFrom="page">
            <wp:posOffset>6375400</wp:posOffset>
          </wp:positionH>
          <wp:positionV relativeFrom="page">
            <wp:posOffset>11277600</wp:posOffset>
          </wp:positionV>
          <wp:extent cx="1270000" cy="3810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270000" cy="3810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05408">
              <wp:simplePos x="0" y="0"/>
              <wp:positionH relativeFrom="page">
                <wp:posOffset>6627876</wp:posOffset>
              </wp:positionH>
              <wp:positionV relativeFrom="page">
                <wp:posOffset>11655524</wp:posOffset>
              </wp:positionV>
              <wp:extent cx="76517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65175" cy="139065"/>
                      </a:xfrm>
                      <a:prstGeom prst="rect">
                        <a:avLst/>
                      </a:prstGeom>
                    </wps:spPr>
                    <wps:txbx>
                      <w:txbxContent>
                        <w:p>
                          <w:pPr>
                            <w:spacing w:before="14"/>
                            <w:ind w:left="20" w:right="0" w:firstLine="0"/>
                            <w:jc w:val="left"/>
                            <w:rPr>
                              <w:sz w:val="16"/>
                            </w:rPr>
                          </w:pPr>
                          <w:r>
                            <w:rPr>
                              <w:spacing w:val="-2"/>
                              <w:sz w:val="16"/>
                            </w:rPr>
                            <w:t>DZTXBSEBDSF</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1.880005pt;margin-top:917.757813pt;width:60.25pt;height:10.95pt;mso-position-horizontal-relative:page;mso-position-vertical-relative:page;z-index:-15811072" type="#_x0000_t202" id="docshape1" filled="false" stroked="false">
              <v:textbox inset="0,0,0,0">
                <w:txbxContent>
                  <w:p>
                    <w:pPr>
                      <w:spacing w:before="14"/>
                      <w:ind w:left="20" w:right="0" w:firstLine="0"/>
                      <w:jc w:val="left"/>
                      <w:rPr>
                        <w:sz w:val="16"/>
                      </w:rPr>
                    </w:pPr>
                    <w:r>
                      <w:rPr>
                        <w:spacing w:val="-2"/>
                        <w:sz w:val="16"/>
                      </w:rPr>
                      <w:t>DZTXBSEBDSF</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4"/>
      <w:szCs w:val="24"/>
      <w:lang w:val="es-ES" w:eastAsia="en-US" w:bidi="ar-SA"/>
    </w:rPr>
  </w:style>
  <w:style w:styleId="Heading1" w:type="paragraph">
    <w:name w:val="Heading 1"/>
    <w:basedOn w:val="Normal"/>
    <w:uiPriority w:val="1"/>
    <w:qFormat/>
    <w:pPr>
      <w:spacing w:before="138"/>
      <w:jc w:val="center"/>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ind w:left="240"/>
      <w:outlineLvl w:val="2"/>
    </w:pPr>
    <w:rPr>
      <w:rFonts w:ascii="Arial MT" w:hAnsi="Arial MT" w:eastAsia="Arial MT" w:cs="Arial MT"/>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http://verificadoc.pjud.cl/"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sala01_cs</dc:creator>
  <dcterms:created xsi:type="dcterms:W3CDTF">2026-02-10T19:06:35Z</dcterms:created>
  <dcterms:modified xsi:type="dcterms:W3CDTF">2026-02-10T19:06:35Z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Creator">
    <vt:lpwstr>Writer</vt:lpwstr>
  </property>
  <property fmtid="{D5CDD505-2E9C-101B-9397-08002B2CF9AE}" pid="4" name="LastSaved">
    <vt:filetime>2026-02-10T00:00:00Z</vt:filetime>
  </property>
  <property fmtid="{D5CDD505-2E9C-101B-9397-08002B2CF9AE}" pid="5" name="Producer">
    <vt:lpwstr>OpenOffice.org 3.3; modified using iText® 5.5.0 ©2000-2013 iText Group NV (AGPL-version)</vt:lpwstr>
  </property>
</Properties>
</file>