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A98CF" w14:textId="77777777" w:rsidR="005816F9" w:rsidRDefault="005816F9">
      <w:pPr>
        <w:pStyle w:val="Textoindependiente"/>
        <w:spacing w:before="246"/>
        <w:rPr>
          <w:rFonts w:ascii="Times New Roman"/>
        </w:rPr>
      </w:pPr>
    </w:p>
    <w:p w14:paraId="7E051CA8" w14:textId="77777777" w:rsidR="005816F9" w:rsidRDefault="0003155A">
      <w:pPr>
        <w:pStyle w:val="Textoindependiente"/>
        <w:spacing w:before="1"/>
        <w:ind w:left="264"/>
      </w:pPr>
      <w:r>
        <w:t>Santiago,</w:t>
      </w:r>
      <w:r>
        <w:rPr>
          <w:spacing w:val="-1"/>
        </w:rPr>
        <w:t xml:space="preserve"> </w:t>
      </w:r>
      <w:r>
        <w:t>dos</w:t>
      </w:r>
      <w:r>
        <w:rPr>
          <w:spacing w:val="-2"/>
        </w:rPr>
        <w:t xml:space="preserve"> </w:t>
      </w:r>
      <w:r>
        <w:t>de</w:t>
      </w:r>
      <w:r>
        <w:rPr>
          <w:spacing w:val="-4"/>
        </w:rPr>
        <w:t xml:space="preserve"> </w:t>
      </w:r>
      <w:r>
        <w:t>febrero</w:t>
      </w:r>
      <w:r>
        <w:rPr>
          <w:spacing w:val="-2"/>
        </w:rPr>
        <w:t xml:space="preserve"> </w:t>
      </w:r>
      <w:r>
        <w:t>de</w:t>
      </w:r>
      <w:r>
        <w:rPr>
          <w:spacing w:val="-4"/>
        </w:rPr>
        <w:t xml:space="preserve"> </w:t>
      </w:r>
      <w:r>
        <w:t>dos</w:t>
      </w:r>
      <w:r>
        <w:rPr>
          <w:spacing w:val="-2"/>
        </w:rPr>
        <w:t xml:space="preserve"> </w:t>
      </w:r>
      <w:r>
        <w:t>mil</w:t>
      </w:r>
      <w:r>
        <w:rPr>
          <w:spacing w:val="-3"/>
        </w:rPr>
        <w:t xml:space="preserve"> </w:t>
      </w:r>
      <w:r>
        <w:rPr>
          <w:spacing w:val="-2"/>
        </w:rPr>
        <w:t>veintiséis.</w:t>
      </w:r>
    </w:p>
    <w:p w14:paraId="2529429B" w14:textId="77777777" w:rsidR="005816F9" w:rsidRDefault="0003155A">
      <w:pPr>
        <w:pStyle w:val="Ttulo"/>
      </w:pPr>
      <w:r>
        <w:t>Vistos</w:t>
      </w:r>
      <w:r>
        <w:rPr>
          <w:spacing w:val="-4"/>
        </w:rPr>
        <w:t xml:space="preserve"> </w:t>
      </w:r>
      <w:r>
        <w:t>y</w:t>
      </w:r>
      <w:r>
        <w:rPr>
          <w:spacing w:val="-3"/>
        </w:rPr>
        <w:t xml:space="preserve"> </w:t>
      </w:r>
      <w:r>
        <w:t>teniendo</w:t>
      </w:r>
      <w:r>
        <w:rPr>
          <w:spacing w:val="-2"/>
        </w:rPr>
        <w:t xml:space="preserve"> presente:</w:t>
      </w:r>
    </w:p>
    <w:p w14:paraId="3AED0B9A" w14:textId="6B43DB14" w:rsidR="005816F9" w:rsidRDefault="0003155A">
      <w:pPr>
        <w:pStyle w:val="Textoindependiente"/>
        <w:spacing w:before="138" w:line="360" w:lineRule="auto"/>
        <w:ind w:left="264" w:right="1706" w:firstLine="708"/>
        <w:jc w:val="both"/>
      </w:pPr>
      <w:r>
        <w:rPr>
          <w:rFonts w:ascii="Arial" w:hAnsi="Arial"/>
          <w:b/>
        </w:rPr>
        <w:t xml:space="preserve">Primero: </w:t>
      </w:r>
      <w:r>
        <w:t>Que el abogado</w:t>
      </w:r>
      <w:r>
        <w:t>, en representación de</w:t>
      </w:r>
      <w:r>
        <w:rPr>
          <w:spacing w:val="-2"/>
        </w:rPr>
        <w:t xml:space="preserve"> </w:t>
      </w:r>
      <w:r>
        <w:t>don</w:t>
      </w:r>
      <w:r>
        <w:rPr>
          <w:spacing w:val="-2"/>
        </w:rPr>
        <w:t xml:space="preserve"> </w:t>
      </w:r>
      <w:r>
        <w:t>demandantes en autos sobre declaración de relación laboral,</w:t>
      </w:r>
      <w:r>
        <w:rPr>
          <w:spacing w:val="-1"/>
        </w:rPr>
        <w:t xml:space="preserve"> </w:t>
      </w:r>
      <w:r>
        <w:t>despido</w:t>
      </w:r>
      <w:r>
        <w:rPr>
          <w:spacing w:val="-2"/>
        </w:rPr>
        <w:t xml:space="preserve"> </w:t>
      </w:r>
      <w:r>
        <w:t>injustificado, nulidad del</w:t>
      </w:r>
      <w:r>
        <w:rPr>
          <w:spacing w:val="-2"/>
        </w:rPr>
        <w:t xml:space="preserve"> </w:t>
      </w:r>
      <w:r>
        <w:t>mismo</w:t>
      </w:r>
      <w:r>
        <w:rPr>
          <w:spacing w:val="-4"/>
        </w:rPr>
        <w:t xml:space="preserve"> </w:t>
      </w:r>
      <w:r>
        <w:t>y</w:t>
      </w:r>
      <w:r>
        <w:rPr>
          <w:spacing w:val="-2"/>
        </w:rPr>
        <w:t xml:space="preserve"> </w:t>
      </w:r>
      <w:r>
        <w:t>cobro</w:t>
      </w:r>
      <w:r>
        <w:rPr>
          <w:spacing w:val="-2"/>
        </w:rPr>
        <w:t xml:space="preserve"> </w:t>
      </w:r>
      <w:r>
        <w:t>de</w:t>
      </w:r>
      <w:r>
        <w:rPr>
          <w:spacing w:val="-4"/>
        </w:rPr>
        <w:t xml:space="preserve"> </w:t>
      </w:r>
      <w:r>
        <w:t>prestaciones</w:t>
      </w:r>
      <w:r>
        <w:rPr>
          <w:spacing w:val="-1"/>
        </w:rPr>
        <w:t xml:space="preserve"> </w:t>
      </w:r>
      <w:r>
        <w:t>e indemnizaciones, RIT</w:t>
      </w:r>
      <w:r>
        <w:rPr>
          <w:spacing w:val="-3"/>
        </w:rPr>
        <w:t xml:space="preserve"> </w:t>
      </w:r>
      <w:r>
        <w:t>O-4852-2025,</w:t>
      </w:r>
      <w:r>
        <w:rPr>
          <w:spacing w:val="-1"/>
        </w:rPr>
        <w:t xml:space="preserve"> </w:t>
      </w:r>
      <w:r>
        <w:t>seguidos</w:t>
      </w:r>
      <w:r>
        <w:rPr>
          <w:spacing w:val="-1"/>
        </w:rPr>
        <w:t xml:space="preserve"> </w:t>
      </w:r>
      <w:r>
        <w:t>ante</w:t>
      </w:r>
      <w:r>
        <w:rPr>
          <w:spacing w:val="-2"/>
        </w:rPr>
        <w:t xml:space="preserve"> </w:t>
      </w:r>
      <w:r>
        <w:t>el</w:t>
      </w:r>
      <w:r>
        <w:rPr>
          <w:spacing w:val="40"/>
        </w:rPr>
        <w:t xml:space="preserve"> </w:t>
      </w:r>
      <w:r>
        <w:t>Segundo</w:t>
      </w:r>
      <w:r>
        <w:rPr>
          <w:spacing w:val="-4"/>
        </w:rPr>
        <w:t xml:space="preserve"> </w:t>
      </w:r>
      <w:r>
        <w:t>Juzgado de</w:t>
      </w:r>
      <w:r>
        <w:rPr>
          <w:spacing w:val="-4"/>
        </w:rPr>
        <w:t xml:space="preserve"> </w:t>
      </w:r>
      <w:r>
        <w:t>Letras del T</w:t>
      </w:r>
      <w:r>
        <w:t>rabajo de Santiago, interpone recurso de</w:t>
      </w:r>
      <w:r>
        <w:rPr>
          <w:spacing w:val="-1"/>
        </w:rPr>
        <w:t xml:space="preserve"> </w:t>
      </w:r>
      <w:r>
        <w:t>queja en contra de los miembros de la Corte de Apelaciones de Santiago, ministra</w:t>
      </w:r>
      <w:r>
        <w:t xml:space="preserve">, ministra suplente señora </w:t>
      </w:r>
      <w:r>
        <w:t>y fiscal judicial señor</w:t>
      </w:r>
      <w:r>
        <w:t>, por haber dictado con falta o abu</w:t>
      </w:r>
      <w:r>
        <w:t>so la resolución de 18 de agosto de 2025, que confirmó la de primer grado que declaró la caducidad de la acción de despido injustificado.</w:t>
      </w:r>
    </w:p>
    <w:p w14:paraId="32E2DDE0" w14:textId="77777777" w:rsidR="005816F9" w:rsidRDefault="0003155A">
      <w:pPr>
        <w:pStyle w:val="Textoindependiente"/>
        <w:spacing w:line="360" w:lineRule="auto"/>
        <w:ind w:left="264" w:right="1708" w:firstLine="708"/>
        <w:jc w:val="both"/>
      </w:pPr>
      <w:r>
        <w:t xml:space="preserve">Refiere que con fecha 8 de enero de 2025 el jefe directo de los demandantes los despidió verbalmente y sin fundamento </w:t>
      </w:r>
      <w:r>
        <w:t>alguno, por lo que solicitaron al tribunal que declare la existencia de la relación laboral, que el despido fue injustificado y nulo, condenando a la demandada al pago de las prestaciones e indemnizaciones correspondientes. Añade que por resolución de 9 de</w:t>
      </w:r>
      <w:r>
        <w:t xml:space="preserve"> julio del año en curso el tribunal de primer grado declaró de oficio la caducidad de la acción de despido injustificado y la de indemnización sustitutiva del aviso previo, dejando vigente las restantes acciones y prestaciones, resolución que fue confirmad</w:t>
      </w:r>
      <w:r>
        <w:t>a por los jueces recurridos.</w:t>
      </w:r>
    </w:p>
    <w:p w14:paraId="4466A66D" w14:textId="77777777" w:rsidR="005816F9" w:rsidRDefault="0003155A">
      <w:pPr>
        <w:pStyle w:val="Textoindependiente"/>
        <w:spacing w:line="360" w:lineRule="auto"/>
        <w:ind w:left="264" w:right="1711" w:firstLine="708"/>
        <w:jc w:val="both"/>
      </w:pPr>
      <w:r>
        <w:t>En cuanto a la falta o abuso grave, sostiene que los jueces recurridos, al confirmar la caducidad de la acción omiten que el artículo 168 del Código del Trabajo descansa sobre el entendido que existe una relación laboral recono</w:t>
      </w:r>
      <w:r>
        <w:t>cida por</w:t>
      </w:r>
      <w:r>
        <w:rPr>
          <w:spacing w:val="-3"/>
        </w:rPr>
        <w:t xml:space="preserve"> </w:t>
      </w:r>
      <w:r>
        <w:t>el</w:t>
      </w:r>
      <w:r>
        <w:rPr>
          <w:spacing w:val="-5"/>
        </w:rPr>
        <w:t xml:space="preserve"> </w:t>
      </w:r>
      <w:r>
        <w:t>empleador,</w:t>
      </w:r>
      <w:r>
        <w:rPr>
          <w:spacing w:val="-2"/>
        </w:rPr>
        <w:t xml:space="preserve"> </w:t>
      </w:r>
      <w:r>
        <w:t>cuyo</w:t>
      </w:r>
      <w:r>
        <w:rPr>
          <w:spacing w:val="-5"/>
        </w:rPr>
        <w:t xml:space="preserve"> </w:t>
      </w:r>
      <w:r>
        <w:t>no</w:t>
      </w:r>
      <w:r>
        <w:rPr>
          <w:spacing w:val="-5"/>
        </w:rPr>
        <w:t xml:space="preserve"> </w:t>
      </w:r>
      <w:r>
        <w:t>es</w:t>
      </w:r>
      <w:r>
        <w:rPr>
          <w:spacing w:val="-3"/>
        </w:rPr>
        <w:t xml:space="preserve"> </w:t>
      </w:r>
      <w:r>
        <w:t>el</w:t>
      </w:r>
      <w:r>
        <w:rPr>
          <w:spacing w:val="-3"/>
        </w:rPr>
        <w:t xml:space="preserve"> </w:t>
      </w:r>
      <w:r>
        <w:t>caso.</w:t>
      </w:r>
      <w:r>
        <w:rPr>
          <w:spacing w:val="-2"/>
        </w:rPr>
        <w:t xml:space="preserve"> </w:t>
      </w:r>
      <w:r>
        <w:t>Sostiene</w:t>
      </w:r>
      <w:r>
        <w:rPr>
          <w:spacing w:val="-3"/>
        </w:rPr>
        <w:t xml:space="preserve"> </w:t>
      </w:r>
      <w:r>
        <w:t>que</w:t>
      </w:r>
      <w:r>
        <w:rPr>
          <w:spacing w:val="-5"/>
        </w:rPr>
        <w:t xml:space="preserve"> </w:t>
      </w:r>
      <w:r>
        <w:t>la</w:t>
      </w:r>
      <w:r>
        <w:rPr>
          <w:spacing w:val="-7"/>
        </w:rPr>
        <w:t xml:space="preserve"> </w:t>
      </w:r>
      <w:r>
        <w:t>discusión</w:t>
      </w:r>
      <w:r>
        <w:rPr>
          <w:spacing w:val="-3"/>
        </w:rPr>
        <w:t xml:space="preserve"> </w:t>
      </w:r>
      <w:r>
        <w:t>de</w:t>
      </w:r>
      <w:r>
        <w:rPr>
          <w:spacing w:val="-5"/>
        </w:rPr>
        <w:t xml:space="preserve"> </w:t>
      </w:r>
      <w:r>
        <w:t>la</w:t>
      </w:r>
      <w:r>
        <w:rPr>
          <w:spacing w:val="-5"/>
        </w:rPr>
        <w:t xml:space="preserve"> </w:t>
      </w:r>
      <w:r>
        <w:t>existencia</w:t>
      </w:r>
      <w:r>
        <w:rPr>
          <w:spacing w:val="-3"/>
        </w:rPr>
        <w:t xml:space="preserve"> </w:t>
      </w:r>
      <w:r>
        <w:t>de una</w:t>
      </w:r>
      <w:r>
        <w:rPr>
          <w:spacing w:val="-2"/>
        </w:rPr>
        <w:t xml:space="preserve"> </w:t>
      </w:r>
      <w:r>
        <w:t>relación laboral no</w:t>
      </w:r>
      <w:r>
        <w:rPr>
          <w:spacing w:val="-3"/>
        </w:rPr>
        <w:t xml:space="preserve"> </w:t>
      </w:r>
      <w:r>
        <w:t>se encuentra comprendida</w:t>
      </w:r>
      <w:r>
        <w:rPr>
          <w:spacing w:val="-2"/>
        </w:rPr>
        <w:t xml:space="preserve"> </w:t>
      </w:r>
      <w:r>
        <w:t>en el</w:t>
      </w:r>
      <w:r>
        <w:rPr>
          <w:spacing w:val="-2"/>
        </w:rPr>
        <w:t xml:space="preserve"> </w:t>
      </w:r>
      <w:r>
        <w:t>citado precepto, que</w:t>
      </w:r>
      <w:r>
        <w:rPr>
          <w:spacing w:val="-2"/>
        </w:rPr>
        <w:t xml:space="preserve"> </w:t>
      </w:r>
      <w:r>
        <w:t>parte de la base que el término de la relación laboral se ha producido de acuerdo con</w:t>
      </w:r>
      <w:r>
        <w:rPr>
          <w:spacing w:val="40"/>
        </w:rPr>
        <w:t xml:space="preserve"> </w:t>
      </w:r>
      <w:r>
        <w:t>los artículos 159, 160 y 161 del código del ramo. De esta manera, asevera, definido que se trata de una causal de prescripción y no de caducidad, mal puede aplicarse el a</w:t>
      </w:r>
      <w:r>
        <w:t>rtículo 447 del Estatuto del Trabajo para declararla caduca.</w:t>
      </w:r>
    </w:p>
    <w:p w14:paraId="310B8B73" w14:textId="77777777" w:rsidR="005816F9" w:rsidRDefault="0003155A">
      <w:pPr>
        <w:pStyle w:val="Textoindependiente"/>
        <w:spacing w:before="1" w:line="360" w:lineRule="auto"/>
        <w:ind w:left="264" w:right="1710" w:firstLine="708"/>
        <w:jc w:val="both"/>
      </w:pPr>
      <w:r>
        <w:t>Añade que esta Corte ha diferenciado los derechos mínimos predeterminados y las condiciones en que las partes pueden convenir sobre aquellos, indicando que respecto a los primeros se fija un plaz</w:t>
      </w:r>
      <w:r>
        <w:t>o mayor para que opere</w:t>
      </w:r>
      <w:r>
        <w:rPr>
          <w:spacing w:val="27"/>
        </w:rPr>
        <w:t xml:space="preserve"> </w:t>
      </w:r>
      <w:r>
        <w:t>la</w:t>
      </w:r>
      <w:r>
        <w:rPr>
          <w:spacing w:val="25"/>
        </w:rPr>
        <w:t xml:space="preserve"> </w:t>
      </w:r>
      <w:r>
        <w:t>prescripción</w:t>
      </w:r>
      <w:r>
        <w:rPr>
          <w:spacing w:val="25"/>
        </w:rPr>
        <w:t xml:space="preserve"> </w:t>
      </w:r>
      <w:r>
        <w:t>como</w:t>
      </w:r>
      <w:r>
        <w:rPr>
          <w:spacing w:val="25"/>
        </w:rPr>
        <w:t xml:space="preserve"> </w:t>
      </w:r>
      <w:r>
        <w:t>modo</w:t>
      </w:r>
      <w:r>
        <w:rPr>
          <w:spacing w:val="25"/>
        </w:rPr>
        <w:t xml:space="preserve"> </w:t>
      </w:r>
      <w:r>
        <w:t>de</w:t>
      </w:r>
      <w:r>
        <w:rPr>
          <w:spacing w:val="25"/>
        </w:rPr>
        <w:t xml:space="preserve"> </w:t>
      </w:r>
      <w:r>
        <w:t>extinguir</w:t>
      </w:r>
      <w:r>
        <w:rPr>
          <w:spacing w:val="27"/>
        </w:rPr>
        <w:t xml:space="preserve"> </w:t>
      </w:r>
      <w:r>
        <w:t>las</w:t>
      </w:r>
      <w:r>
        <w:rPr>
          <w:spacing w:val="24"/>
        </w:rPr>
        <w:t xml:space="preserve"> </w:t>
      </w:r>
      <w:r>
        <w:t>acciones</w:t>
      </w:r>
      <w:r>
        <w:rPr>
          <w:spacing w:val="26"/>
        </w:rPr>
        <w:t xml:space="preserve"> </w:t>
      </w:r>
      <w:r>
        <w:t>judiciales,</w:t>
      </w:r>
      <w:r>
        <w:rPr>
          <w:spacing w:val="28"/>
        </w:rPr>
        <w:t xml:space="preserve"> </w:t>
      </w:r>
      <w:r>
        <w:t>y</w:t>
      </w:r>
      <w:r>
        <w:rPr>
          <w:spacing w:val="24"/>
        </w:rPr>
        <w:t xml:space="preserve"> </w:t>
      </w:r>
      <w:r>
        <w:t>para</w:t>
      </w:r>
      <w:r>
        <w:rPr>
          <w:spacing w:val="27"/>
        </w:rPr>
        <w:t xml:space="preserve"> </w:t>
      </w:r>
      <w:r>
        <w:t>los</w:t>
      </w:r>
    </w:p>
    <w:p w14:paraId="22F18B2D" w14:textId="77777777" w:rsidR="005816F9" w:rsidRDefault="005816F9">
      <w:pPr>
        <w:pStyle w:val="Textoindependiente"/>
        <w:spacing w:line="360" w:lineRule="auto"/>
        <w:jc w:val="both"/>
        <w:sectPr w:rsidR="005816F9">
          <w:footerReference w:type="default" r:id="rId6"/>
          <w:type w:val="continuous"/>
          <w:pgSz w:w="12240" w:h="18720"/>
          <w:pgMar w:top="2160" w:right="0" w:bottom="960" w:left="1440" w:header="0" w:footer="760" w:gutter="0"/>
          <w:pgNumType w:start="1"/>
          <w:cols w:space="720"/>
        </w:sectPr>
      </w:pPr>
    </w:p>
    <w:p w14:paraId="2775135E" w14:textId="77777777" w:rsidR="005816F9" w:rsidRDefault="0003155A">
      <w:pPr>
        <w:pStyle w:val="Textoindependiente"/>
        <w:spacing w:before="109" w:line="360" w:lineRule="auto"/>
        <w:ind w:left="264" w:right="1710"/>
        <w:jc w:val="both"/>
      </w:pPr>
      <w:r>
        <w:lastRenderedPageBreak/>
        <w:t>segundos uno</w:t>
      </w:r>
      <w:r>
        <w:rPr>
          <w:spacing w:val="-1"/>
        </w:rPr>
        <w:t xml:space="preserve"> </w:t>
      </w:r>
      <w:r>
        <w:t>inferior, a</w:t>
      </w:r>
      <w:r>
        <w:rPr>
          <w:spacing w:val="-1"/>
        </w:rPr>
        <w:t xml:space="preserve"> </w:t>
      </w:r>
      <w:r>
        <w:t>saber, de</w:t>
      </w:r>
      <w:r>
        <w:rPr>
          <w:spacing w:val="-3"/>
        </w:rPr>
        <w:t xml:space="preserve"> </w:t>
      </w:r>
      <w:r>
        <w:t>dos años y</w:t>
      </w:r>
      <w:r>
        <w:rPr>
          <w:spacing w:val="-2"/>
        </w:rPr>
        <w:t xml:space="preserve"> </w:t>
      </w:r>
      <w:r>
        <w:t>seis meses respectivamente. Cita al efecto las sentencias dictadas por esta Corte en autos Rol Nº19.720-2018, “Nº6.703” (Sic), Nº51.327-2024 y Nº21.450-2025, que indican que el plazo para reclamar</w:t>
      </w:r>
      <w:r>
        <w:rPr>
          <w:spacing w:val="-2"/>
        </w:rPr>
        <w:t xml:space="preserve"> </w:t>
      </w:r>
      <w:r>
        <w:t>las</w:t>
      </w:r>
      <w:r>
        <w:rPr>
          <w:spacing w:val="-2"/>
        </w:rPr>
        <w:t xml:space="preserve"> </w:t>
      </w:r>
      <w:r>
        <w:t>indemnizaciones y</w:t>
      </w:r>
      <w:r>
        <w:rPr>
          <w:spacing w:val="-2"/>
        </w:rPr>
        <w:t xml:space="preserve"> </w:t>
      </w:r>
      <w:r>
        <w:t>otras prestaciones laborales nacen</w:t>
      </w:r>
      <w:r>
        <w:rPr>
          <w:spacing w:val="-1"/>
        </w:rPr>
        <w:t xml:space="preserve"> </w:t>
      </w:r>
      <w:r>
        <w:t>al</w:t>
      </w:r>
      <w:r>
        <w:rPr>
          <w:spacing w:val="-1"/>
        </w:rPr>
        <w:t xml:space="preserve"> </w:t>
      </w:r>
      <w:r>
        <w:t>momento</w:t>
      </w:r>
      <w:r>
        <w:rPr>
          <w:spacing w:val="-1"/>
        </w:rPr>
        <w:t xml:space="preserve"> </w:t>
      </w:r>
      <w:r>
        <w:t>de que finaliza la relación laboral, y por dos años.</w:t>
      </w:r>
    </w:p>
    <w:p w14:paraId="5174C4B4" w14:textId="77777777" w:rsidR="005816F9" w:rsidRDefault="0003155A">
      <w:pPr>
        <w:pStyle w:val="Textoindependiente"/>
        <w:spacing w:line="360" w:lineRule="auto"/>
        <w:ind w:left="264" w:right="1708" w:firstLine="708"/>
        <w:jc w:val="both"/>
      </w:pPr>
      <w:r>
        <w:t>Concluye precisando que la falta y abuso grave se manifiesta en impedir a sus representados acceder en forma efectiva a la tutela judicial, decisión que infringe el derecho al debido proceso con</w:t>
      </w:r>
      <w:r>
        <w:t xml:space="preserve">tenido en el artículo 19 número 3 de la Constitución Política de la República. Alega que frente a una interpretación en principio divergente se debe preferir y aplicar aquella que resulta favorable a la parte demandante, conclusión que es coherente con el </w:t>
      </w:r>
      <w:r>
        <w:t>principio de protección a los trabajadores.</w:t>
      </w:r>
    </w:p>
    <w:p w14:paraId="07AB1924" w14:textId="77777777" w:rsidR="005816F9" w:rsidRDefault="0003155A">
      <w:pPr>
        <w:pStyle w:val="Textoindependiente"/>
        <w:spacing w:line="360" w:lineRule="auto"/>
        <w:ind w:left="264" w:right="1711" w:firstLine="708"/>
        <w:jc w:val="both"/>
      </w:pPr>
      <w:r>
        <w:t>Solicita se acoja el recurso, se invalide la sentencia recurrida y, en su lugar, se dicte una que revoque la de primer grado y ordene continuar con la tramitación de la causa en todas sus partes.</w:t>
      </w:r>
    </w:p>
    <w:p w14:paraId="49F03532" w14:textId="77777777" w:rsidR="005816F9" w:rsidRDefault="0003155A">
      <w:pPr>
        <w:pStyle w:val="Textoindependiente"/>
        <w:spacing w:line="360" w:lineRule="auto"/>
        <w:ind w:left="264" w:right="1706" w:firstLine="708"/>
        <w:jc w:val="both"/>
      </w:pPr>
      <w:r>
        <w:rPr>
          <w:rFonts w:ascii="Arial" w:hAnsi="Arial"/>
          <w:b/>
        </w:rPr>
        <w:t xml:space="preserve">Segundo: </w:t>
      </w:r>
      <w:r>
        <w:t>Que, al</w:t>
      </w:r>
      <w:r>
        <w:t xml:space="preserve"> evacuar el informe de rigor, los recurridos señalaron que efectivamente dictaron la resolución que confirmó la de primer grado, por estimar que al interponer la demanda el 7 de</w:t>
      </w:r>
      <w:r>
        <w:rPr>
          <w:spacing w:val="-2"/>
        </w:rPr>
        <w:t xml:space="preserve"> </w:t>
      </w:r>
      <w:r>
        <w:t>julio</w:t>
      </w:r>
      <w:r>
        <w:rPr>
          <w:spacing w:val="-2"/>
        </w:rPr>
        <w:t xml:space="preserve"> </w:t>
      </w:r>
      <w:r>
        <w:t>de</w:t>
      </w:r>
      <w:r>
        <w:rPr>
          <w:spacing w:val="-2"/>
        </w:rPr>
        <w:t xml:space="preserve"> </w:t>
      </w:r>
      <w:r>
        <w:t>2025, fundada en un despido de</w:t>
      </w:r>
      <w:r>
        <w:rPr>
          <w:spacing w:val="-2"/>
        </w:rPr>
        <w:t xml:space="preserve"> </w:t>
      </w:r>
      <w:r>
        <w:t>8 de enero del mismo año, esto es, des</w:t>
      </w:r>
      <w:r>
        <w:t>pués de seis meses de la separación, había transcurrido con creces el plazo previsto en el artículo 168 del Código del Trabajo. Además, sostienen que tuvieron en cuenta que la circunstancia de requerir la declaración</w:t>
      </w:r>
      <w:r>
        <w:rPr>
          <w:spacing w:val="-1"/>
        </w:rPr>
        <w:t xml:space="preserve"> </w:t>
      </w:r>
      <w:r>
        <w:t>de</w:t>
      </w:r>
      <w:r>
        <w:rPr>
          <w:spacing w:val="-5"/>
        </w:rPr>
        <w:t xml:space="preserve"> </w:t>
      </w:r>
      <w:r>
        <w:t>un</w:t>
      </w:r>
      <w:r>
        <w:rPr>
          <w:spacing w:val="-5"/>
        </w:rPr>
        <w:t xml:space="preserve"> </w:t>
      </w:r>
      <w:r>
        <w:t>vínculo</w:t>
      </w:r>
      <w:r>
        <w:rPr>
          <w:spacing w:val="-5"/>
        </w:rPr>
        <w:t xml:space="preserve"> </w:t>
      </w:r>
      <w:r>
        <w:t>de</w:t>
      </w:r>
      <w:r>
        <w:rPr>
          <w:spacing w:val="-5"/>
        </w:rPr>
        <w:t xml:space="preserve"> </w:t>
      </w:r>
      <w:r>
        <w:t>naturaleza</w:t>
      </w:r>
      <w:r>
        <w:rPr>
          <w:spacing w:val="-3"/>
        </w:rPr>
        <w:t xml:space="preserve"> </w:t>
      </w:r>
      <w:r>
        <w:t>laboral</w:t>
      </w:r>
      <w:r>
        <w:rPr>
          <w:spacing w:val="-3"/>
        </w:rPr>
        <w:t xml:space="preserve"> </w:t>
      </w:r>
      <w:r>
        <w:t>no</w:t>
      </w:r>
      <w:r>
        <w:rPr>
          <w:spacing w:val="-5"/>
        </w:rPr>
        <w:t xml:space="preserve"> </w:t>
      </w:r>
      <w:r>
        <w:t>tiene</w:t>
      </w:r>
      <w:r>
        <w:rPr>
          <w:spacing w:val="-3"/>
        </w:rPr>
        <w:t xml:space="preserve"> </w:t>
      </w:r>
      <w:r>
        <w:t>la</w:t>
      </w:r>
      <w:r>
        <w:rPr>
          <w:spacing w:val="-7"/>
        </w:rPr>
        <w:t xml:space="preserve"> </w:t>
      </w:r>
      <w:r>
        <w:t>capacidad</w:t>
      </w:r>
      <w:r>
        <w:rPr>
          <w:spacing w:val="-1"/>
        </w:rPr>
        <w:t xml:space="preserve"> </w:t>
      </w:r>
      <w:r>
        <w:t>de</w:t>
      </w:r>
      <w:r>
        <w:rPr>
          <w:spacing w:val="-7"/>
        </w:rPr>
        <w:t xml:space="preserve"> </w:t>
      </w:r>
      <w:r>
        <w:t>sustraer</w:t>
      </w:r>
      <w:r>
        <w:rPr>
          <w:spacing w:val="-1"/>
        </w:rPr>
        <w:t xml:space="preserve"> </w:t>
      </w:r>
      <w:r>
        <w:t xml:space="preserve">a los demandantes de las prescripciones legales que les impone el cumplimiento de cargas en cuanto a la oportunidad de sus reclamos, atendido que las normas referidas a la caducidad integran el conjunto de disposiciones cuya </w:t>
      </w:r>
      <w:r>
        <w:t>aplicación requieren a su respecto, debiendo asumirlas tanto en lo favorable como en lo adverso a sus intereses.</w:t>
      </w:r>
    </w:p>
    <w:p w14:paraId="1F35A512" w14:textId="77777777" w:rsidR="005816F9" w:rsidRDefault="0003155A">
      <w:pPr>
        <w:pStyle w:val="Textoindependiente"/>
        <w:spacing w:before="1" w:line="360" w:lineRule="auto"/>
        <w:ind w:left="264" w:right="1710" w:firstLine="708"/>
        <w:jc w:val="both"/>
      </w:pPr>
      <w:r>
        <w:rPr>
          <w:rFonts w:ascii="Arial" w:hAnsi="Arial"/>
          <w:b/>
        </w:rPr>
        <w:t xml:space="preserve">Tercero: </w:t>
      </w:r>
      <w:r>
        <w:t>Que el recurso de queja se encuentra contemplado en el Título XVI del Código Orgánico de Tribunales, que trata "De la jurisdicción dis</w:t>
      </w:r>
      <w:r>
        <w:t>ciplinaria y de</w:t>
      </w:r>
      <w:r>
        <w:rPr>
          <w:spacing w:val="-1"/>
        </w:rPr>
        <w:t xml:space="preserve"> </w:t>
      </w:r>
      <w:r>
        <w:t>la</w:t>
      </w:r>
      <w:r>
        <w:rPr>
          <w:spacing w:val="-1"/>
        </w:rPr>
        <w:t xml:space="preserve"> </w:t>
      </w:r>
      <w:r>
        <w:t>inspección y vigilancia de</w:t>
      </w:r>
      <w:r>
        <w:rPr>
          <w:spacing w:val="-1"/>
        </w:rPr>
        <w:t xml:space="preserve"> </w:t>
      </w:r>
      <w:r>
        <w:t>los servicios judiciales", y está reglamentado en su párrafo primero que lleva el epígrafe de "Las facultades disciplinarias".</w:t>
      </w:r>
    </w:p>
    <w:p w14:paraId="680A5836" w14:textId="77777777" w:rsidR="005816F9" w:rsidRDefault="0003155A">
      <w:pPr>
        <w:pStyle w:val="Textoindependiente"/>
        <w:spacing w:line="360" w:lineRule="auto"/>
        <w:ind w:left="264" w:right="1712" w:firstLine="708"/>
        <w:jc w:val="both"/>
      </w:pPr>
      <w:r>
        <w:rPr>
          <w:rFonts w:ascii="Arial" w:hAnsi="Arial"/>
          <w:b/>
        </w:rPr>
        <w:t xml:space="preserve">Cuarto: </w:t>
      </w:r>
      <w:r>
        <w:t>Que, conforme al artículo 545 de ese cuerpo legal, el recurso de queja solamente procede cuando en la resolución que lo motiva se haya incurrido en falta o abuso constituidos por errores u omisiones, manifiestos y graves.</w:t>
      </w:r>
    </w:p>
    <w:p w14:paraId="6FE7040E" w14:textId="77777777" w:rsidR="005816F9" w:rsidRDefault="005816F9">
      <w:pPr>
        <w:pStyle w:val="Textoindependiente"/>
        <w:spacing w:line="360" w:lineRule="auto"/>
        <w:jc w:val="both"/>
        <w:sectPr w:rsidR="005816F9">
          <w:pgSz w:w="12240" w:h="18720"/>
          <w:pgMar w:top="2160" w:right="0" w:bottom="960" w:left="1440" w:header="0" w:footer="760" w:gutter="0"/>
          <w:cols w:space="720"/>
        </w:sectPr>
      </w:pPr>
    </w:p>
    <w:p w14:paraId="0C937145" w14:textId="6CD6C522" w:rsidR="005816F9" w:rsidRDefault="0003155A">
      <w:pPr>
        <w:pStyle w:val="Textoindependiente"/>
        <w:spacing w:before="109" w:line="360" w:lineRule="auto"/>
        <w:ind w:left="264" w:right="1708" w:firstLine="708"/>
        <w:jc w:val="both"/>
      </w:pPr>
      <w:r>
        <w:rPr>
          <w:rFonts w:ascii="Arial" w:hAnsi="Arial"/>
          <w:b/>
        </w:rPr>
        <w:lastRenderedPageBreak/>
        <w:t>Quinto</w:t>
      </w:r>
      <w:r>
        <w:t>: Que, al ef</w:t>
      </w:r>
      <w:r>
        <w:t xml:space="preserve">ecto, es importante considerar que el concepto que introduce el artículo 545 del Código Orgánico de Tribunales, en orden a que el recurso de queja tiene por exclusiva finalidad corregir “faltas o abusos graves” cometidos en la dictación de resoluciones de </w:t>
      </w:r>
      <w:r>
        <w:t>carácter jurisdiccional, está íntimamente relacionado con el principio elaborado por la doctrina procesal de la “trascendencia”, y que, en el caso concreto, dice relación con la necesidad de que la falta o abuso tenga una influencia sustancial, esencial, t</w:t>
      </w:r>
      <w:r>
        <w:t>rascendente en la parte dispositiva</w:t>
      </w:r>
      <w:r>
        <w:rPr>
          <w:spacing w:val="-3"/>
        </w:rPr>
        <w:t xml:space="preserve"> </w:t>
      </w:r>
      <w:r>
        <w:t>de</w:t>
      </w:r>
      <w:r>
        <w:rPr>
          <w:spacing w:val="-5"/>
        </w:rPr>
        <w:t xml:space="preserve"> </w:t>
      </w:r>
      <w:r>
        <w:t>la</w:t>
      </w:r>
      <w:r>
        <w:rPr>
          <w:spacing w:val="-3"/>
        </w:rPr>
        <w:t xml:space="preserve"> </w:t>
      </w:r>
      <w:r>
        <w:t>sentencia</w:t>
      </w:r>
      <w:r>
        <w:rPr>
          <w:spacing w:val="-3"/>
        </w:rPr>
        <w:t xml:space="preserve"> </w:t>
      </w:r>
      <w:r>
        <w:t>(</w:t>
      </w:r>
      <w:r>
        <w:t>,</w:t>
      </w:r>
      <w:r>
        <w:rPr>
          <w:spacing w:val="-3"/>
        </w:rPr>
        <w:t xml:space="preserve"> </w:t>
      </w:r>
      <w:r>
        <w:t>El</w:t>
      </w:r>
      <w:r>
        <w:rPr>
          <w:spacing w:val="-2"/>
        </w:rPr>
        <w:t xml:space="preserve"> </w:t>
      </w:r>
      <w:r>
        <w:t>recurso</w:t>
      </w:r>
      <w:r>
        <w:rPr>
          <w:spacing w:val="-3"/>
        </w:rPr>
        <w:t xml:space="preserve"> </w:t>
      </w:r>
      <w:r>
        <w:t>de</w:t>
      </w:r>
      <w:r>
        <w:rPr>
          <w:spacing w:val="-5"/>
        </w:rPr>
        <w:t xml:space="preserve"> </w:t>
      </w:r>
      <w:r>
        <w:t>queja. Una Interpretación Funcional</w:t>
      </w:r>
      <w:proofErr w:type="gramStart"/>
      <w:r>
        <w:t xml:space="preserve">, </w:t>
      </w:r>
      <w:r>
        <w:t>,</w:t>
      </w:r>
      <w:proofErr w:type="gramEnd"/>
      <w:r>
        <w:t xml:space="preserve"> 1998, p. 40); situación que puede configurarse, por ejemplo, cuando por un incorrecto análisis de los antecedentes del proceso y de la normativa aplicable se priva a una parte del derecho a un deb</w:t>
      </w:r>
      <w:r>
        <w:t>ido proceso o a la tutela judicial efectiva.</w:t>
      </w:r>
    </w:p>
    <w:p w14:paraId="0F6D1200" w14:textId="77777777" w:rsidR="005816F9" w:rsidRDefault="0003155A">
      <w:pPr>
        <w:pStyle w:val="Textoindependiente"/>
        <w:spacing w:line="360" w:lineRule="auto"/>
        <w:ind w:left="264" w:right="1709" w:firstLine="708"/>
        <w:jc w:val="both"/>
      </w:pPr>
      <w:r>
        <w:rPr>
          <w:rFonts w:ascii="Arial"/>
          <w:b/>
        </w:rPr>
        <w:t>Sexto</w:t>
      </w:r>
      <w:r>
        <w:t>: Que, del examen de los antecedentes obtenidos del sistema computacional se advierte que:</w:t>
      </w:r>
    </w:p>
    <w:p w14:paraId="66584ABC" w14:textId="36BB9386" w:rsidR="005816F9" w:rsidRDefault="0003155A">
      <w:pPr>
        <w:pStyle w:val="Textoindependiente"/>
        <w:spacing w:line="360" w:lineRule="auto"/>
        <w:ind w:left="264" w:right="1709" w:firstLine="708"/>
        <w:jc w:val="both"/>
      </w:pPr>
      <w:r>
        <w:t xml:space="preserve">a.- El 7 de julio de 2025, don </w:t>
      </w:r>
      <w:r>
        <w:t>interpusieron demanda de declaración de relación laboral, despido injustificado, nulidad del mismo y cobro de prestaciones e indemnizaciones y declaración de existencia de subcontratación en contra del Centro de Formación y Capacitació</w:t>
      </w:r>
      <w:r>
        <w:t xml:space="preserve">n </w:t>
      </w:r>
      <w:r>
        <w:t>y de la Constructora</w:t>
      </w:r>
      <w:r>
        <w:t xml:space="preserve">, a fin de que se declare que las partes se vincularon a través de un contrato de trabajo entre el 30 de noviembre de 2024, 8 de junio de 2024 y 1 de noviembre de 2024, respectivamente, hasta 8 de </w:t>
      </w:r>
      <w:r>
        <w:t>enero de 2025, y se adopten las demás decisiones que indica.</w:t>
      </w:r>
    </w:p>
    <w:p w14:paraId="64380C19" w14:textId="77777777" w:rsidR="005816F9" w:rsidRDefault="0003155A">
      <w:pPr>
        <w:pStyle w:val="Textoindependiente"/>
        <w:spacing w:line="360" w:lineRule="auto"/>
        <w:ind w:left="264" w:right="1710" w:firstLine="708"/>
        <w:jc w:val="both"/>
      </w:pPr>
      <w:r>
        <w:t xml:space="preserve">b.- La judicatura de instancia, mediante resolución de 9 de julio de 2025, declaró la caducidad de la acción de despido injustificado, así como de la indemnización sustitutiva del aviso previo y </w:t>
      </w:r>
      <w:r>
        <w:t>ordenó seguir con la tramitación de la causa en lo restante.</w:t>
      </w:r>
    </w:p>
    <w:p w14:paraId="55351A4F" w14:textId="77777777" w:rsidR="005816F9" w:rsidRDefault="0003155A">
      <w:pPr>
        <w:pStyle w:val="Textoindependiente"/>
        <w:spacing w:before="1" w:line="360" w:lineRule="auto"/>
        <w:ind w:left="264" w:right="1714" w:firstLine="708"/>
        <w:jc w:val="both"/>
      </w:pPr>
      <w:r>
        <w:t>c.- La Corte de Apelaciones de Santiago confirmó la resolución precedente, por sentencia de 18 de agosto de 2025.</w:t>
      </w:r>
    </w:p>
    <w:p w14:paraId="713F32DF" w14:textId="77777777" w:rsidR="005816F9" w:rsidRDefault="0003155A">
      <w:pPr>
        <w:pStyle w:val="Textoindependiente"/>
        <w:spacing w:line="360" w:lineRule="auto"/>
        <w:ind w:left="264" w:right="1707" w:firstLine="708"/>
        <w:jc w:val="both"/>
      </w:pPr>
      <w:r>
        <w:rPr>
          <w:rFonts w:ascii="Arial" w:hAnsi="Arial"/>
          <w:b/>
        </w:rPr>
        <w:t>Séptimo</w:t>
      </w:r>
      <w:r>
        <w:t>: Que, como consta de la resolución impugnada y de los antecedentes del pr</w:t>
      </w:r>
      <w:r>
        <w:t>oceso, la demanda tiene por objeto que se declare la relación laboral, además del carácter injustificado y nulo del despido y la circunstancia de adeudarse las prestaciones que se indican. Tal precisión resulta relevante en cuanto</w:t>
      </w:r>
      <w:r>
        <w:rPr>
          <w:spacing w:val="1"/>
        </w:rPr>
        <w:t xml:space="preserve"> </w:t>
      </w:r>
      <w:r>
        <w:t>no</w:t>
      </w:r>
      <w:r>
        <w:rPr>
          <w:spacing w:val="2"/>
        </w:rPr>
        <w:t xml:space="preserve"> </w:t>
      </w:r>
      <w:r>
        <w:t>es</w:t>
      </w:r>
      <w:r>
        <w:rPr>
          <w:spacing w:val="4"/>
        </w:rPr>
        <w:t xml:space="preserve"> </w:t>
      </w:r>
      <w:r>
        <w:t>jurídicamente</w:t>
      </w:r>
      <w:r>
        <w:rPr>
          <w:spacing w:val="3"/>
        </w:rPr>
        <w:t xml:space="preserve"> </w:t>
      </w:r>
      <w:r>
        <w:t>posib</w:t>
      </w:r>
      <w:r>
        <w:t>le</w:t>
      </w:r>
      <w:r>
        <w:rPr>
          <w:spacing w:val="2"/>
        </w:rPr>
        <w:t xml:space="preserve"> </w:t>
      </w:r>
      <w:r>
        <w:t>separar</w:t>
      </w:r>
      <w:r>
        <w:rPr>
          <w:spacing w:val="5"/>
        </w:rPr>
        <w:t xml:space="preserve"> </w:t>
      </w:r>
      <w:r>
        <w:t>la</w:t>
      </w:r>
      <w:r>
        <w:rPr>
          <w:spacing w:val="1"/>
        </w:rPr>
        <w:t xml:space="preserve"> </w:t>
      </w:r>
      <w:r>
        <w:t>acción</w:t>
      </w:r>
      <w:r>
        <w:rPr>
          <w:spacing w:val="5"/>
        </w:rPr>
        <w:t xml:space="preserve"> </w:t>
      </w:r>
      <w:r>
        <w:t>de</w:t>
      </w:r>
      <w:r>
        <w:rPr>
          <w:spacing w:val="2"/>
        </w:rPr>
        <w:t xml:space="preserve"> </w:t>
      </w:r>
      <w:r>
        <w:t>despido</w:t>
      </w:r>
      <w:r>
        <w:rPr>
          <w:spacing w:val="4"/>
        </w:rPr>
        <w:t xml:space="preserve"> </w:t>
      </w:r>
      <w:r>
        <w:t>injustificado</w:t>
      </w:r>
      <w:r>
        <w:rPr>
          <w:spacing w:val="5"/>
        </w:rPr>
        <w:t xml:space="preserve"> </w:t>
      </w:r>
      <w:r>
        <w:t>de</w:t>
      </w:r>
      <w:r>
        <w:rPr>
          <w:spacing w:val="2"/>
        </w:rPr>
        <w:t xml:space="preserve"> </w:t>
      </w:r>
      <w:r>
        <w:rPr>
          <w:spacing w:val="-5"/>
        </w:rPr>
        <w:t>la</w:t>
      </w:r>
    </w:p>
    <w:p w14:paraId="208F7D9D" w14:textId="77777777" w:rsidR="005816F9" w:rsidRDefault="005816F9">
      <w:pPr>
        <w:pStyle w:val="Textoindependiente"/>
        <w:spacing w:line="360" w:lineRule="auto"/>
        <w:jc w:val="both"/>
        <w:sectPr w:rsidR="005816F9">
          <w:pgSz w:w="12240" w:h="18720"/>
          <w:pgMar w:top="2160" w:right="0" w:bottom="960" w:left="1440" w:header="0" w:footer="760" w:gutter="0"/>
          <w:cols w:space="720"/>
        </w:sectPr>
      </w:pPr>
    </w:p>
    <w:p w14:paraId="3BD2B964" w14:textId="77777777" w:rsidR="005816F9" w:rsidRDefault="0003155A">
      <w:pPr>
        <w:pStyle w:val="Textoindependiente"/>
        <w:spacing w:before="109" w:line="360" w:lineRule="auto"/>
        <w:ind w:left="264" w:right="1708"/>
        <w:jc w:val="both"/>
      </w:pPr>
      <w:r>
        <w:lastRenderedPageBreak/>
        <w:t>anterior, al</w:t>
      </w:r>
      <w:r>
        <w:rPr>
          <w:spacing w:val="-5"/>
        </w:rPr>
        <w:t xml:space="preserve"> </w:t>
      </w:r>
      <w:r>
        <w:t>ser</w:t>
      </w:r>
      <w:r>
        <w:rPr>
          <w:spacing w:val="-3"/>
        </w:rPr>
        <w:t xml:space="preserve"> </w:t>
      </w:r>
      <w:r>
        <w:t>evidente</w:t>
      </w:r>
      <w:r>
        <w:rPr>
          <w:spacing w:val="-5"/>
        </w:rPr>
        <w:t xml:space="preserve"> </w:t>
      </w:r>
      <w:r>
        <w:t>que</w:t>
      </w:r>
      <w:r>
        <w:rPr>
          <w:spacing w:val="-5"/>
        </w:rPr>
        <w:t xml:space="preserve"> </w:t>
      </w:r>
      <w:r>
        <w:t>no</w:t>
      </w:r>
      <w:r>
        <w:rPr>
          <w:spacing w:val="-5"/>
        </w:rPr>
        <w:t xml:space="preserve"> </w:t>
      </w:r>
      <w:r>
        <w:t>puede</w:t>
      </w:r>
      <w:r>
        <w:rPr>
          <w:spacing w:val="-3"/>
        </w:rPr>
        <w:t xml:space="preserve"> </w:t>
      </w:r>
      <w:r>
        <w:t>solicitarse</w:t>
      </w:r>
      <w:r>
        <w:rPr>
          <w:spacing w:val="-3"/>
        </w:rPr>
        <w:t xml:space="preserve"> </w:t>
      </w:r>
      <w:r>
        <w:t>la</w:t>
      </w:r>
      <w:r>
        <w:rPr>
          <w:spacing w:val="-5"/>
        </w:rPr>
        <w:t xml:space="preserve"> </w:t>
      </w:r>
      <w:r>
        <w:t>aplicación</w:t>
      </w:r>
      <w:r>
        <w:rPr>
          <w:spacing w:val="-1"/>
        </w:rPr>
        <w:t xml:space="preserve"> </w:t>
      </w:r>
      <w:r>
        <w:t>de</w:t>
      </w:r>
      <w:r>
        <w:rPr>
          <w:spacing w:val="-5"/>
        </w:rPr>
        <w:t xml:space="preserve"> </w:t>
      </w:r>
      <w:r>
        <w:t>lo</w:t>
      </w:r>
      <w:r>
        <w:rPr>
          <w:spacing w:val="-7"/>
        </w:rPr>
        <w:t xml:space="preserve"> </w:t>
      </w:r>
      <w:r>
        <w:t>dispuesto</w:t>
      </w:r>
      <w:r>
        <w:rPr>
          <w:spacing w:val="-3"/>
        </w:rPr>
        <w:t xml:space="preserve"> </w:t>
      </w:r>
      <w:r>
        <w:t>en</w:t>
      </w:r>
      <w:r>
        <w:rPr>
          <w:spacing w:val="-3"/>
        </w:rPr>
        <w:t xml:space="preserve"> </w:t>
      </w:r>
      <w:r>
        <w:t>el artículo 168 del Código del Trabajo, ni de ninguno de sus preceptos, respecto de un período cuya natu</w:t>
      </w:r>
      <w:r>
        <w:t>raleza laboral está controvertida y que aún no ha sido asentada por la judicatura del ramo.</w:t>
      </w:r>
    </w:p>
    <w:p w14:paraId="1E1F0480" w14:textId="77777777" w:rsidR="005816F9" w:rsidRDefault="0003155A">
      <w:pPr>
        <w:pStyle w:val="Textoindependiente"/>
        <w:spacing w:line="360" w:lineRule="auto"/>
        <w:ind w:left="264" w:right="1713" w:firstLine="708"/>
        <w:jc w:val="both"/>
      </w:pPr>
      <w:r>
        <w:t xml:space="preserve">Por consiguiente, la acción de despido injustificado derivada de un vínculo cuya real naturaleza forma parte del conflicto sometido al conocimiento de la judicatura laboral, queda supeditada, en los aspectos sustantivos y adjetivos, incluido el plazo para </w:t>
      </w:r>
      <w:r>
        <w:t>su interposición, a la acción de declaración de relación laboral, pues no puede existir en forma independiente de aquella.</w:t>
      </w:r>
    </w:p>
    <w:p w14:paraId="26FC6DCE" w14:textId="77777777" w:rsidR="005816F9" w:rsidRDefault="0003155A">
      <w:pPr>
        <w:pStyle w:val="Textoindependiente"/>
        <w:spacing w:line="360" w:lineRule="auto"/>
        <w:ind w:left="264" w:right="1708" w:firstLine="708"/>
        <w:jc w:val="both"/>
      </w:pPr>
      <w:r>
        <w:rPr>
          <w:rFonts w:ascii="Arial" w:hAnsi="Arial"/>
          <w:b/>
        </w:rPr>
        <w:t xml:space="preserve">Octavo: </w:t>
      </w:r>
      <w:r>
        <w:t>Que, por consiguiente, el derecho a reclamar el reconocimiento de una relación laboral que es desconocida por el empleador pu</w:t>
      </w:r>
      <w:r>
        <w:t xml:space="preserve">ede ser impetrada no sólo durante toda su vigencia, sino también después de su finalización, pero, en este último caso, cobra relevancia el plazo de prescripción de la acción que sólo puede comenzar a correr desde la época en que se le puso término, ello, </w:t>
      </w:r>
      <w:r>
        <w:t xml:space="preserve">según la correcta interpretación del inciso primero del artículo 510 del cuerpo legal citado; mismo criterio que motiva las decisiones anteriores de este Tribunal en materias </w:t>
      </w:r>
      <w:r>
        <w:rPr>
          <w:spacing w:val="-2"/>
        </w:rPr>
        <w:t>similares.</w:t>
      </w:r>
    </w:p>
    <w:p w14:paraId="3D0D405E" w14:textId="77777777" w:rsidR="005816F9" w:rsidRDefault="0003155A">
      <w:pPr>
        <w:pStyle w:val="Textoindependiente"/>
        <w:spacing w:line="360" w:lineRule="auto"/>
        <w:ind w:left="264" w:right="1710" w:firstLine="708"/>
        <w:jc w:val="both"/>
      </w:pPr>
      <w:r>
        <w:rPr>
          <w:rFonts w:ascii="Arial" w:hAnsi="Arial"/>
          <w:b/>
        </w:rPr>
        <w:t xml:space="preserve">Noveno: </w:t>
      </w:r>
      <w:r>
        <w:t>Que, en consecuencia, los integrantes de la judicatura recurri</w:t>
      </w:r>
      <w:r>
        <w:t>dos incurrieron en falta o abuso al aplicar el plazo de caducidad de la acción de despido injustificado del artículo 168 del Código Laboral, sin considerar que, en la especie, su ejercicio se encuentra supeditado a aquella que tiene por objeto una declarac</w:t>
      </w:r>
      <w:r>
        <w:t>ión judicial relativa a la verdadera naturaleza del vínculo, respecto de la cual se desprende que el término para plantearla era el de dos años desde la conclusión de los servicios.</w:t>
      </w:r>
    </w:p>
    <w:p w14:paraId="406B2965" w14:textId="7A63EA8E" w:rsidR="005816F9" w:rsidRDefault="0003155A">
      <w:pPr>
        <w:pStyle w:val="Textoindependiente"/>
        <w:spacing w:line="360" w:lineRule="auto"/>
        <w:ind w:left="264" w:right="1698" w:firstLine="708"/>
        <w:jc w:val="both"/>
      </w:pPr>
      <w:r>
        <w:t>Por estas consideraciones y conforme lo dispone el artículo 549 del Código</w:t>
      </w:r>
      <w:r>
        <w:t xml:space="preserve"> Orgánico de Tribunales, </w:t>
      </w:r>
      <w:r>
        <w:rPr>
          <w:rFonts w:ascii="Arial" w:hAnsi="Arial"/>
          <w:b/>
        </w:rPr>
        <w:t xml:space="preserve">se acoge </w:t>
      </w:r>
      <w:r>
        <w:t xml:space="preserve">el recurso de queja deducido en contra de los integrantes de la Corte de Apelaciones de Santiago, ministra señora </w:t>
      </w:r>
      <w:r>
        <w:t xml:space="preserve"> y fiscal judicial señor Jorge Norambuena, por haber dict</w:t>
      </w:r>
      <w:r>
        <w:t xml:space="preserve">ado con falta o abuso la resolución de dieciocho de agosto último, y, en consecuencia, </w:t>
      </w:r>
      <w:r>
        <w:rPr>
          <w:rFonts w:ascii="Arial" w:hAnsi="Arial"/>
          <w:b/>
        </w:rPr>
        <w:t xml:space="preserve">se dejan sin efecto </w:t>
      </w:r>
      <w:r>
        <w:t>la referida resolución de segundo grado y la dictada por el Segundo Juzgado de Letras del Trabajo de Santiago, con fecha nueve de julio pasado, y, en</w:t>
      </w:r>
      <w:r>
        <w:t xml:space="preserve"> su lugar, se ordena dar curso progresivo a los autos, respecto de todas las acciones deducidas, citando a la respectiva audiencia preparatoria.</w:t>
      </w:r>
    </w:p>
    <w:p w14:paraId="6A1FD9F6" w14:textId="77777777" w:rsidR="005816F9" w:rsidRDefault="005816F9">
      <w:pPr>
        <w:pStyle w:val="Textoindependiente"/>
        <w:spacing w:line="360" w:lineRule="auto"/>
        <w:jc w:val="both"/>
        <w:sectPr w:rsidR="005816F9">
          <w:pgSz w:w="12240" w:h="18720"/>
          <w:pgMar w:top="2160" w:right="0" w:bottom="960" w:left="1440" w:header="0" w:footer="760" w:gutter="0"/>
          <w:cols w:space="720"/>
        </w:sectPr>
      </w:pPr>
    </w:p>
    <w:p w14:paraId="62F99D23" w14:textId="77777777" w:rsidR="005816F9" w:rsidRDefault="0003155A">
      <w:pPr>
        <w:pStyle w:val="Textoindependiente"/>
        <w:spacing w:before="109" w:line="360" w:lineRule="auto"/>
        <w:ind w:left="264" w:right="1711" w:firstLine="708"/>
        <w:jc w:val="both"/>
      </w:pPr>
      <w:r>
        <w:lastRenderedPageBreak/>
        <w:t xml:space="preserve">No se ordena pasar estos antecedentes al Tribunal Pleno, por no existir mérito suficiente para </w:t>
      </w:r>
      <w:r>
        <w:t>ello.</w:t>
      </w:r>
    </w:p>
    <w:p w14:paraId="1D0E41B3" w14:textId="77777777" w:rsidR="005816F9" w:rsidRDefault="0003155A">
      <w:pPr>
        <w:pStyle w:val="Textoindependiente"/>
        <w:spacing w:line="360" w:lineRule="auto"/>
        <w:ind w:left="971" w:right="5738"/>
        <w:jc w:val="both"/>
      </w:pPr>
      <w:r>
        <w:t>Regístrese,</w:t>
      </w:r>
      <w:r>
        <w:rPr>
          <w:spacing w:val="-14"/>
        </w:rPr>
        <w:t xml:space="preserve"> </w:t>
      </w:r>
      <w:r>
        <w:t>comuníquese</w:t>
      </w:r>
      <w:r>
        <w:rPr>
          <w:spacing w:val="-17"/>
        </w:rPr>
        <w:t xml:space="preserve"> </w:t>
      </w:r>
      <w:r>
        <w:t>y</w:t>
      </w:r>
      <w:r>
        <w:rPr>
          <w:spacing w:val="-15"/>
        </w:rPr>
        <w:t xml:space="preserve"> </w:t>
      </w:r>
      <w:r>
        <w:t>archívese. Rol Nº34.319-25</w:t>
      </w:r>
    </w:p>
    <w:p w14:paraId="46FB3EC7" w14:textId="77777777" w:rsidR="005816F9" w:rsidRDefault="0003155A">
      <w:pPr>
        <w:pStyle w:val="Textoindependiente"/>
        <w:spacing w:line="360" w:lineRule="auto"/>
        <w:ind w:left="264" w:right="1711"/>
        <w:jc w:val="both"/>
      </w:pPr>
      <w:r>
        <w:t>Pronunciado por la Cuarta Sala de la Corte Suprema integrada por las ministras señoras Andrea Muñoz S., Jessica González T., Mireya López M., y los abogados integrantes señora Fabiola Lathrop R., y señor Carlos Urquieta S. No firman la ministra señora Gonz</w:t>
      </w:r>
      <w:r>
        <w:t>ález y el abogado integrante señor Urquieta, no obstante haber concurrido a la vista y al acuerdo de la causa, por encontrarse con feriado legal la primera y por estar ausente el segundo. Santiago, dos de febrero de dos mil veintiséis.</w:t>
      </w:r>
    </w:p>
    <w:p w14:paraId="2FA42E76" w14:textId="77777777" w:rsidR="005816F9" w:rsidRDefault="005816F9">
      <w:pPr>
        <w:pStyle w:val="Textoindependiente"/>
        <w:rPr>
          <w:sz w:val="20"/>
        </w:rPr>
      </w:pPr>
    </w:p>
    <w:p w14:paraId="48973A5C" w14:textId="77777777" w:rsidR="005816F9" w:rsidRDefault="005816F9">
      <w:pPr>
        <w:pStyle w:val="Textoindependiente"/>
        <w:spacing w:before="121"/>
        <w:rPr>
          <w:sz w:val="20"/>
        </w:rPr>
      </w:pPr>
    </w:p>
    <w:p w14:paraId="6CA6BEED" w14:textId="77777777" w:rsidR="005816F9" w:rsidRDefault="005816F9">
      <w:pPr>
        <w:pStyle w:val="Textoindependiente"/>
        <w:rPr>
          <w:sz w:val="20"/>
        </w:rPr>
        <w:sectPr w:rsidR="005816F9">
          <w:pgSz w:w="12240" w:h="18720"/>
          <w:pgMar w:top="2160" w:right="0" w:bottom="960" w:left="1440" w:header="0" w:footer="760" w:gutter="0"/>
          <w:cols w:space="720"/>
        </w:sectPr>
      </w:pPr>
    </w:p>
    <w:p w14:paraId="53F76C54" w14:textId="77777777" w:rsidR="005816F9" w:rsidRDefault="0003155A">
      <w:pPr>
        <w:pStyle w:val="Textoindependiente"/>
        <w:spacing w:before="121" w:line="208" w:lineRule="auto"/>
        <w:ind w:left="240"/>
      </w:pPr>
      <w:r>
        <w:t>ANDREA</w:t>
      </w:r>
      <w:r>
        <w:rPr>
          <w:spacing w:val="-14"/>
        </w:rPr>
        <w:t xml:space="preserve"> </w:t>
      </w:r>
      <w:r>
        <w:t>MARIA</w:t>
      </w:r>
      <w:r>
        <w:rPr>
          <w:spacing w:val="-14"/>
        </w:rPr>
        <w:t xml:space="preserve"> </w:t>
      </w:r>
      <w:r>
        <w:t>MERCEDES</w:t>
      </w:r>
      <w:r>
        <w:rPr>
          <w:spacing w:val="-14"/>
        </w:rPr>
        <w:t xml:space="preserve"> </w:t>
      </w:r>
      <w:r>
        <w:t xml:space="preserve">MUÑOZ </w:t>
      </w:r>
      <w:r>
        <w:rPr>
          <w:spacing w:val="-2"/>
        </w:rPr>
        <w:t>SANCHEZ</w:t>
      </w:r>
    </w:p>
    <w:p w14:paraId="5603B173" w14:textId="77777777" w:rsidR="005816F9" w:rsidRDefault="0003155A">
      <w:pPr>
        <w:pStyle w:val="Textoindependiente"/>
        <w:spacing w:line="229" w:lineRule="exact"/>
        <w:ind w:left="240"/>
      </w:pPr>
      <w:r>
        <w:rPr>
          <w:spacing w:val="-2"/>
        </w:rPr>
        <w:t>MINISTRA</w:t>
      </w:r>
    </w:p>
    <w:p w14:paraId="66BB67EF" w14:textId="77777777" w:rsidR="005816F9" w:rsidRDefault="0003155A">
      <w:pPr>
        <w:pStyle w:val="Textoindependiente"/>
        <w:spacing w:line="258" w:lineRule="exact"/>
        <w:ind w:left="240"/>
      </w:pPr>
      <w:r>
        <w:t xml:space="preserve">Fecha: 02/02/2026 </w:t>
      </w:r>
      <w:r>
        <w:rPr>
          <w:spacing w:val="-2"/>
        </w:rPr>
        <w:t>15:41:53</w:t>
      </w:r>
    </w:p>
    <w:p w14:paraId="3E8F2FE3" w14:textId="77777777" w:rsidR="005816F9" w:rsidRDefault="0003155A">
      <w:pPr>
        <w:pStyle w:val="Textoindependiente"/>
        <w:spacing w:before="121" w:line="208" w:lineRule="auto"/>
        <w:ind w:left="239" w:right="914"/>
      </w:pPr>
      <w:r>
        <w:br w:type="column"/>
      </w:r>
      <w:r>
        <w:t>MIREYA</w:t>
      </w:r>
      <w:r>
        <w:rPr>
          <w:spacing w:val="-13"/>
        </w:rPr>
        <w:t xml:space="preserve"> </w:t>
      </w:r>
      <w:r>
        <w:t>EUGENIA</w:t>
      </w:r>
      <w:r>
        <w:rPr>
          <w:spacing w:val="-13"/>
        </w:rPr>
        <w:t xml:space="preserve"> </w:t>
      </w:r>
      <w:r>
        <w:t>LÓPEZ</w:t>
      </w:r>
      <w:r>
        <w:rPr>
          <w:spacing w:val="-13"/>
        </w:rPr>
        <w:t xml:space="preserve"> </w:t>
      </w:r>
      <w:r>
        <w:t xml:space="preserve">MIRANDA </w:t>
      </w:r>
      <w:r>
        <w:rPr>
          <w:spacing w:val="-2"/>
        </w:rPr>
        <w:t>MINISTRA</w:t>
      </w:r>
    </w:p>
    <w:p w14:paraId="162CFF2B" w14:textId="77777777" w:rsidR="005816F9" w:rsidRDefault="0003155A">
      <w:pPr>
        <w:pStyle w:val="Textoindependiente"/>
        <w:spacing w:line="247" w:lineRule="exact"/>
        <w:ind w:left="239"/>
      </w:pPr>
      <w:r>
        <w:t xml:space="preserve">Fecha: 02/02/2026 </w:t>
      </w:r>
      <w:r>
        <w:rPr>
          <w:spacing w:val="-2"/>
        </w:rPr>
        <w:t>15:41:54</w:t>
      </w:r>
    </w:p>
    <w:p w14:paraId="5745D715" w14:textId="77777777" w:rsidR="005816F9" w:rsidRDefault="005816F9">
      <w:pPr>
        <w:pStyle w:val="Textoindependiente"/>
        <w:spacing w:line="247" w:lineRule="exact"/>
        <w:sectPr w:rsidR="005816F9">
          <w:type w:val="continuous"/>
          <w:pgSz w:w="12240" w:h="18720"/>
          <w:pgMar w:top="2160" w:right="0" w:bottom="960" w:left="1440" w:header="0" w:footer="760" w:gutter="0"/>
          <w:cols w:num="2" w:space="720" w:equalWidth="0">
            <w:col w:w="4441" w:space="40"/>
            <w:col w:w="6319"/>
          </w:cols>
        </w:sectPr>
      </w:pPr>
    </w:p>
    <w:p w14:paraId="2D591EE4" w14:textId="77777777" w:rsidR="005816F9" w:rsidRDefault="005816F9">
      <w:pPr>
        <w:pStyle w:val="Textoindependiente"/>
      </w:pPr>
    </w:p>
    <w:p w14:paraId="4F02D7A3" w14:textId="77777777" w:rsidR="005816F9" w:rsidRDefault="005816F9">
      <w:pPr>
        <w:pStyle w:val="Textoindependiente"/>
      </w:pPr>
    </w:p>
    <w:p w14:paraId="3B1754A4" w14:textId="77777777" w:rsidR="005816F9" w:rsidRDefault="005816F9">
      <w:pPr>
        <w:pStyle w:val="Textoindependiente"/>
      </w:pPr>
    </w:p>
    <w:p w14:paraId="0916FBE9" w14:textId="77777777" w:rsidR="005816F9" w:rsidRDefault="005816F9">
      <w:pPr>
        <w:pStyle w:val="Textoindependiente"/>
      </w:pPr>
    </w:p>
    <w:p w14:paraId="51CAD570" w14:textId="77777777" w:rsidR="005816F9" w:rsidRDefault="005816F9">
      <w:pPr>
        <w:pStyle w:val="Textoindependiente"/>
        <w:spacing w:before="154"/>
      </w:pPr>
    </w:p>
    <w:p w14:paraId="6D6B0193" w14:textId="77777777" w:rsidR="005816F9" w:rsidRDefault="0003155A">
      <w:pPr>
        <w:pStyle w:val="Textoindependiente"/>
        <w:spacing w:line="208" w:lineRule="auto"/>
        <w:ind w:left="240" w:right="5204"/>
      </w:pPr>
      <w:r>
        <w:t>FABIOLA</w:t>
      </w:r>
      <w:r>
        <w:rPr>
          <w:spacing w:val="-13"/>
        </w:rPr>
        <w:t xml:space="preserve"> </w:t>
      </w:r>
      <w:r>
        <w:t>ESTHER</w:t>
      </w:r>
      <w:r>
        <w:rPr>
          <w:spacing w:val="-13"/>
        </w:rPr>
        <w:t xml:space="preserve"> </w:t>
      </w:r>
      <w:r>
        <w:t>LATHROP</w:t>
      </w:r>
      <w:r>
        <w:rPr>
          <w:spacing w:val="-13"/>
        </w:rPr>
        <w:t xml:space="preserve"> </w:t>
      </w:r>
      <w:r>
        <w:t>GOMEZ ABOGADO INTEGRANTE</w:t>
      </w:r>
    </w:p>
    <w:p w14:paraId="3D286714" w14:textId="77777777" w:rsidR="005816F9" w:rsidRDefault="0003155A">
      <w:pPr>
        <w:pStyle w:val="Textoindependiente"/>
        <w:spacing w:line="247" w:lineRule="exact"/>
        <w:ind w:left="240"/>
      </w:pPr>
      <w:r>
        <w:t xml:space="preserve">Fecha: 02/02/2026 </w:t>
      </w:r>
      <w:r>
        <w:rPr>
          <w:spacing w:val="-2"/>
        </w:rPr>
        <w:t>15:41:55</w:t>
      </w:r>
    </w:p>
    <w:p w14:paraId="52073BB6" w14:textId="77777777" w:rsidR="005816F9" w:rsidRDefault="005816F9">
      <w:pPr>
        <w:pStyle w:val="Textoindependiente"/>
        <w:spacing w:line="247" w:lineRule="exact"/>
        <w:sectPr w:rsidR="005816F9">
          <w:type w:val="continuous"/>
          <w:pgSz w:w="12240" w:h="18720"/>
          <w:pgMar w:top="2160" w:right="0" w:bottom="960" w:left="1440" w:header="0" w:footer="760" w:gutter="0"/>
          <w:cols w:space="720"/>
        </w:sectPr>
      </w:pPr>
    </w:p>
    <w:p w14:paraId="7A8A9FF6" w14:textId="77777777" w:rsidR="005816F9" w:rsidRDefault="0003155A">
      <w:pPr>
        <w:pStyle w:val="Textoindependiente"/>
        <w:spacing w:before="75" w:line="261" w:lineRule="auto"/>
        <w:ind w:left="560" w:right="1628"/>
      </w:pPr>
      <w:r>
        <w:lastRenderedPageBreak/>
        <w:t>En Santiago, a dos de febrero de dos mil veintiséis, se incluyó en el Estado Diario la resolución precedente.</w:t>
      </w:r>
    </w:p>
    <w:p w14:paraId="3327A152" w14:textId="77777777" w:rsidR="005816F9" w:rsidRDefault="005816F9">
      <w:pPr>
        <w:pStyle w:val="Textoindependiente"/>
        <w:rPr>
          <w:sz w:val="20"/>
        </w:rPr>
      </w:pPr>
    </w:p>
    <w:p w14:paraId="1264917F" w14:textId="77777777" w:rsidR="005816F9" w:rsidRDefault="005816F9">
      <w:pPr>
        <w:pStyle w:val="Textoindependiente"/>
        <w:rPr>
          <w:sz w:val="20"/>
        </w:rPr>
      </w:pPr>
    </w:p>
    <w:p w14:paraId="372E6C49" w14:textId="77777777" w:rsidR="005816F9" w:rsidRDefault="005816F9">
      <w:pPr>
        <w:pStyle w:val="Textoindependiente"/>
        <w:rPr>
          <w:sz w:val="20"/>
        </w:rPr>
      </w:pPr>
    </w:p>
    <w:p w14:paraId="0AFCFA60" w14:textId="77777777" w:rsidR="005816F9" w:rsidRDefault="005816F9">
      <w:pPr>
        <w:pStyle w:val="Textoindependiente"/>
        <w:rPr>
          <w:sz w:val="20"/>
        </w:rPr>
      </w:pPr>
    </w:p>
    <w:p w14:paraId="261DDDCA" w14:textId="77777777" w:rsidR="005816F9" w:rsidRDefault="005816F9">
      <w:pPr>
        <w:pStyle w:val="Textoindependiente"/>
        <w:rPr>
          <w:sz w:val="20"/>
        </w:rPr>
      </w:pPr>
    </w:p>
    <w:p w14:paraId="62D2489A" w14:textId="77777777" w:rsidR="005816F9" w:rsidRDefault="005816F9">
      <w:pPr>
        <w:pStyle w:val="Textoindependiente"/>
        <w:rPr>
          <w:sz w:val="20"/>
        </w:rPr>
      </w:pPr>
    </w:p>
    <w:p w14:paraId="38381AF5" w14:textId="77777777" w:rsidR="005816F9" w:rsidRDefault="005816F9">
      <w:pPr>
        <w:pStyle w:val="Textoindependiente"/>
        <w:rPr>
          <w:sz w:val="20"/>
        </w:rPr>
      </w:pPr>
    </w:p>
    <w:p w14:paraId="5B6EE8C4" w14:textId="77777777" w:rsidR="005816F9" w:rsidRDefault="005816F9">
      <w:pPr>
        <w:pStyle w:val="Textoindependiente"/>
        <w:rPr>
          <w:sz w:val="20"/>
        </w:rPr>
      </w:pPr>
    </w:p>
    <w:p w14:paraId="48E49725" w14:textId="77777777" w:rsidR="005816F9" w:rsidRDefault="005816F9">
      <w:pPr>
        <w:pStyle w:val="Textoindependiente"/>
        <w:rPr>
          <w:sz w:val="20"/>
        </w:rPr>
      </w:pPr>
    </w:p>
    <w:p w14:paraId="04874E85" w14:textId="77777777" w:rsidR="005816F9" w:rsidRDefault="005816F9">
      <w:pPr>
        <w:pStyle w:val="Textoindependiente"/>
        <w:rPr>
          <w:sz w:val="20"/>
        </w:rPr>
      </w:pPr>
    </w:p>
    <w:p w14:paraId="55DC0341" w14:textId="77777777" w:rsidR="005816F9" w:rsidRDefault="005816F9">
      <w:pPr>
        <w:pStyle w:val="Textoindependiente"/>
        <w:rPr>
          <w:sz w:val="20"/>
        </w:rPr>
      </w:pPr>
    </w:p>
    <w:p w14:paraId="7475C4A1" w14:textId="77777777" w:rsidR="005816F9" w:rsidRDefault="005816F9">
      <w:pPr>
        <w:pStyle w:val="Textoindependiente"/>
        <w:rPr>
          <w:sz w:val="20"/>
        </w:rPr>
      </w:pPr>
    </w:p>
    <w:p w14:paraId="65054388" w14:textId="77777777" w:rsidR="005816F9" w:rsidRDefault="005816F9">
      <w:pPr>
        <w:pStyle w:val="Textoindependiente"/>
        <w:rPr>
          <w:sz w:val="20"/>
        </w:rPr>
      </w:pPr>
    </w:p>
    <w:p w14:paraId="15FC99BE" w14:textId="77777777" w:rsidR="005816F9" w:rsidRDefault="005816F9">
      <w:pPr>
        <w:pStyle w:val="Textoindependiente"/>
        <w:rPr>
          <w:sz w:val="20"/>
        </w:rPr>
      </w:pPr>
    </w:p>
    <w:p w14:paraId="16A2BFA1" w14:textId="77777777" w:rsidR="005816F9" w:rsidRDefault="005816F9">
      <w:pPr>
        <w:pStyle w:val="Textoindependiente"/>
        <w:rPr>
          <w:sz w:val="20"/>
        </w:rPr>
      </w:pPr>
    </w:p>
    <w:p w14:paraId="7C9E4067" w14:textId="77777777" w:rsidR="005816F9" w:rsidRDefault="005816F9">
      <w:pPr>
        <w:pStyle w:val="Textoindependiente"/>
        <w:rPr>
          <w:sz w:val="20"/>
        </w:rPr>
      </w:pPr>
    </w:p>
    <w:p w14:paraId="5E19A31B" w14:textId="77777777" w:rsidR="005816F9" w:rsidRDefault="005816F9">
      <w:pPr>
        <w:pStyle w:val="Textoindependiente"/>
        <w:rPr>
          <w:sz w:val="20"/>
        </w:rPr>
      </w:pPr>
    </w:p>
    <w:p w14:paraId="18932E09" w14:textId="77777777" w:rsidR="005816F9" w:rsidRDefault="005816F9">
      <w:pPr>
        <w:pStyle w:val="Textoindependiente"/>
        <w:rPr>
          <w:sz w:val="20"/>
        </w:rPr>
      </w:pPr>
    </w:p>
    <w:p w14:paraId="6159BFF9" w14:textId="77777777" w:rsidR="005816F9" w:rsidRDefault="005816F9">
      <w:pPr>
        <w:pStyle w:val="Textoindependiente"/>
        <w:rPr>
          <w:sz w:val="20"/>
        </w:rPr>
      </w:pPr>
    </w:p>
    <w:p w14:paraId="4B268FD8" w14:textId="77777777" w:rsidR="005816F9" w:rsidRDefault="005816F9">
      <w:pPr>
        <w:pStyle w:val="Textoindependiente"/>
        <w:rPr>
          <w:sz w:val="20"/>
        </w:rPr>
      </w:pPr>
    </w:p>
    <w:p w14:paraId="216929E3" w14:textId="77777777" w:rsidR="005816F9" w:rsidRDefault="005816F9">
      <w:pPr>
        <w:pStyle w:val="Textoindependiente"/>
        <w:rPr>
          <w:sz w:val="20"/>
        </w:rPr>
      </w:pPr>
    </w:p>
    <w:p w14:paraId="5A78A9D4" w14:textId="77777777" w:rsidR="005816F9" w:rsidRDefault="005816F9">
      <w:pPr>
        <w:pStyle w:val="Textoindependiente"/>
        <w:rPr>
          <w:sz w:val="20"/>
        </w:rPr>
      </w:pPr>
    </w:p>
    <w:p w14:paraId="621804FA" w14:textId="77777777" w:rsidR="005816F9" w:rsidRDefault="005816F9">
      <w:pPr>
        <w:pStyle w:val="Textoindependiente"/>
        <w:rPr>
          <w:sz w:val="20"/>
        </w:rPr>
      </w:pPr>
    </w:p>
    <w:p w14:paraId="4E83D84A" w14:textId="77777777" w:rsidR="005816F9" w:rsidRDefault="005816F9">
      <w:pPr>
        <w:pStyle w:val="Textoindependiente"/>
        <w:rPr>
          <w:sz w:val="20"/>
        </w:rPr>
      </w:pPr>
    </w:p>
    <w:p w14:paraId="330D772F" w14:textId="77777777" w:rsidR="005816F9" w:rsidRDefault="005816F9">
      <w:pPr>
        <w:pStyle w:val="Textoindependiente"/>
        <w:rPr>
          <w:sz w:val="20"/>
        </w:rPr>
      </w:pPr>
    </w:p>
    <w:p w14:paraId="26A219EC" w14:textId="77777777" w:rsidR="005816F9" w:rsidRDefault="005816F9">
      <w:pPr>
        <w:pStyle w:val="Textoindependiente"/>
        <w:rPr>
          <w:sz w:val="20"/>
        </w:rPr>
      </w:pPr>
    </w:p>
    <w:p w14:paraId="33C93007" w14:textId="77777777" w:rsidR="005816F9" w:rsidRDefault="005816F9">
      <w:pPr>
        <w:pStyle w:val="Textoindependiente"/>
        <w:rPr>
          <w:sz w:val="20"/>
        </w:rPr>
      </w:pPr>
    </w:p>
    <w:p w14:paraId="48444659" w14:textId="77777777" w:rsidR="005816F9" w:rsidRDefault="005816F9">
      <w:pPr>
        <w:pStyle w:val="Textoindependiente"/>
        <w:rPr>
          <w:sz w:val="20"/>
        </w:rPr>
      </w:pPr>
    </w:p>
    <w:p w14:paraId="7E4B9AF2" w14:textId="77777777" w:rsidR="005816F9" w:rsidRDefault="005816F9">
      <w:pPr>
        <w:pStyle w:val="Textoindependiente"/>
        <w:rPr>
          <w:sz w:val="20"/>
        </w:rPr>
      </w:pPr>
    </w:p>
    <w:p w14:paraId="35843538" w14:textId="77777777" w:rsidR="005816F9" w:rsidRDefault="005816F9">
      <w:pPr>
        <w:pStyle w:val="Textoindependiente"/>
        <w:rPr>
          <w:sz w:val="20"/>
        </w:rPr>
      </w:pPr>
    </w:p>
    <w:p w14:paraId="2BFA7033" w14:textId="77777777" w:rsidR="005816F9" w:rsidRDefault="005816F9">
      <w:pPr>
        <w:pStyle w:val="Textoindependiente"/>
        <w:rPr>
          <w:sz w:val="20"/>
        </w:rPr>
      </w:pPr>
    </w:p>
    <w:p w14:paraId="41AF199D" w14:textId="77777777" w:rsidR="005816F9" w:rsidRDefault="005816F9">
      <w:pPr>
        <w:pStyle w:val="Textoindependiente"/>
        <w:rPr>
          <w:sz w:val="20"/>
        </w:rPr>
      </w:pPr>
    </w:p>
    <w:p w14:paraId="757661A4" w14:textId="77777777" w:rsidR="005816F9" w:rsidRDefault="005816F9">
      <w:pPr>
        <w:pStyle w:val="Textoindependiente"/>
        <w:rPr>
          <w:sz w:val="20"/>
        </w:rPr>
      </w:pPr>
    </w:p>
    <w:p w14:paraId="598CC6F7" w14:textId="77777777" w:rsidR="005816F9" w:rsidRDefault="005816F9">
      <w:pPr>
        <w:pStyle w:val="Textoindependiente"/>
        <w:rPr>
          <w:sz w:val="20"/>
        </w:rPr>
      </w:pPr>
    </w:p>
    <w:p w14:paraId="08B9CB46" w14:textId="77777777" w:rsidR="005816F9" w:rsidRDefault="005816F9">
      <w:pPr>
        <w:pStyle w:val="Textoindependiente"/>
        <w:rPr>
          <w:sz w:val="20"/>
        </w:rPr>
      </w:pPr>
    </w:p>
    <w:p w14:paraId="5AB7F23A" w14:textId="77777777" w:rsidR="005816F9" w:rsidRDefault="005816F9">
      <w:pPr>
        <w:pStyle w:val="Textoindependiente"/>
        <w:rPr>
          <w:sz w:val="20"/>
        </w:rPr>
      </w:pPr>
    </w:p>
    <w:p w14:paraId="5DD484F1" w14:textId="77777777" w:rsidR="005816F9" w:rsidRDefault="005816F9">
      <w:pPr>
        <w:pStyle w:val="Textoindependiente"/>
        <w:rPr>
          <w:sz w:val="20"/>
        </w:rPr>
      </w:pPr>
    </w:p>
    <w:p w14:paraId="3CFD04A4" w14:textId="77777777" w:rsidR="005816F9" w:rsidRDefault="005816F9">
      <w:pPr>
        <w:pStyle w:val="Textoindependiente"/>
        <w:rPr>
          <w:sz w:val="20"/>
        </w:rPr>
      </w:pPr>
    </w:p>
    <w:p w14:paraId="51A7E16B" w14:textId="77777777" w:rsidR="005816F9" w:rsidRDefault="005816F9">
      <w:pPr>
        <w:pStyle w:val="Textoindependiente"/>
        <w:rPr>
          <w:sz w:val="20"/>
        </w:rPr>
      </w:pPr>
    </w:p>
    <w:p w14:paraId="307F978B" w14:textId="77777777" w:rsidR="005816F9" w:rsidRDefault="005816F9">
      <w:pPr>
        <w:pStyle w:val="Textoindependiente"/>
        <w:rPr>
          <w:sz w:val="20"/>
        </w:rPr>
      </w:pPr>
    </w:p>
    <w:p w14:paraId="29E588E3" w14:textId="77777777" w:rsidR="005816F9" w:rsidRDefault="005816F9">
      <w:pPr>
        <w:pStyle w:val="Textoindependiente"/>
        <w:rPr>
          <w:sz w:val="20"/>
        </w:rPr>
      </w:pPr>
    </w:p>
    <w:p w14:paraId="65C13AB0" w14:textId="77777777" w:rsidR="005816F9" w:rsidRDefault="005816F9">
      <w:pPr>
        <w:pStyle w:val="Textoindependiente"/>
        <w:rPr>
          <w:sz w:val="20"/>
        </w:rPr>
      </w:pPr>
    </w:p>
    <w:p w14:paraId="40F5640E" w14:textId="77777777" w:rsidR="005816F9" w:rsidRDefault="005816F9">
      <w:pPr>
        <w:pStyle w:val="Textoindependiente"/>
        <w:rPr>
          <w:sz w:val="20"/>
        </w:rPr>
      </w:pPr>
    </w:p>
    <w:p w14:paraId="210C3911" w14:textId="77777777" w:rsidR="005816F9" w:rsidRDefault="005816F9">
      <w:pPr>
        <w:pStyle w:val="Textoindependiente"/>
        <w:rPr>
          <w:sz w:val="20"/>
        </w:rPr>
      </w:pPr>
    </w:p>
    <w:p w14:paraId="6CF5FBB1" w14:textId="77777777" w:rsidR="005816F9" w:rsidRDefault="005816F9">
      <w:pPr>
        <w:pStyle w:val="Textoindependiente"/>
        <w:rPr>
          <w:sz w:val="20"/>
        </w:rPr>
      </w:pPr>
    </w:p>
    <w:p w14:paraId="33C5B02F" w14:textId="77777777" w:rsidR="005816F9" w:rsidRDefault="005816F9">
      <w:pPr>
        <w:pStyle w:val="Textoindependiente"/>
        <w:rPr>
          <w:sz w:val="20"/>
        </w:rPr>
      </w:pPr>
    </w:p>
    <w:p w14:paraId="4204D0B8" w14:textId="77777777" w:rsidR="005816F9" w:rsidRDefault="005816F9">
      <w:pPr>
        <w:pStyle w:val="Textoindependiente"/>
        <w:rPr>
          <w:sz w:val="20"/>
        </w:rPr>
      </w:pPr>
    </w:p>
    <w:p w14:paraId="4DC7EDEC" w14:textId="77777777" w:rsidR="005816F9" w:rsidRDefault="005816F9">
      <w:pPr>
        <w:pStyle w:val="Textoindependiente"/>
        <w:rPr>
          <w:sz w:val="20"/>
        </w:rPr>
      </w:pPr>
    </w:p>
    <w:p w14:paraId="09FF50BA" w14:textId="77777777" w:rsidR="005816F9" w:rsidRDefault="005816F9">
      <w:pPr>
        <w:pStyle w:val="Textoindependiente"/>
        <w:rPr>
          <w:sz w:val="20"/>
        </w:rPr>
      </w:pPr>
    </w:p>
    <w:p w14:paraId="22C8A8D1" w14:textId="77777777" w:rsidR="005816F9" w:rsidRDefault="005816F9">
      <w:pPr>
        <w:pStyle w:val="Textoindependiente"/>
        <w:rPr>
          <w:sz w:val="20"/>
        </w:rPr>
      </w:pPr>
    </w:p>
    <w:p w14:paraId="07012B14" w14:textId="77777777" w:rsidR="005816F9" w:rsidRDefault="005816F9">
      <w:pPr>
        <w:pStyle w:val="Textoindependiente"/>
        <w:rPr>
          <w:sz w:val="20"/>
        </w:rPr>
      </w:pPr>
    </w:p>
    <w:p w14:paraId="52DE46E0" w14:textId="77777777" w:rsidR="005816F9" w:rsidRDefault="005816F9">
      <w:pPr>
        <w:pStyle w:val="Textoindependiente"/>
        <w:rPr>
          <w:sz w:val="20"/>
        </w:rPr>
      </w:pPr>
    </w:p>
    <w:p w14:paraId="3451EA73" w14:textId="77777777" w:rsidR="005816F9" w:rsidRDefault="005816F9">
      <w:pPr>
        <w:pStyle w:val="Textoindependiente"/>
        <w:rPr>
          <w:sz w:val="20"/>
        </w:rPr>
      </w:pPr>
    </w:p>
    <w:p w14:paraId="459C06E8" w14:textId="77777777" w:rsidR="005816F9" w:rsidRDefault="005816F9">
      <w:pPr>
        <w:pStyle w:val="Textoindependiente"/>
        <w:rPr>
          <w:sz w:val="20"/>
        </w:rPr>
      </w:pPr>
    </w:p>
    <w:p w14:paraId="0DC1D6EA" w14:textId="77777777" w:rsidR="005816F9" w:rsidRDefault="005816F9">
      <w:pPr>
        <w:pStyle w:val="Textoindependiente"/>
        <w:rPr>
          <w:sz w:val="20"/>
        </w:rPr>
      </w:pPr>
    </w:p>
    <w:p w14:paraId="605E804F" w14:textId="77777777" w:rsidR="005816F9" w:rsidRDefault="005816F9">
      <w:pPr>
        <w:pStyle w:val="Textoindependiente"/>
        <w:rPr>
          <w:sz w:val="20"/>
        </w:rPr>
      </w:pPr>
    </w:p>
    <w:p w14:paraId="246D4479" w14:textId="77777777" w:rsidR="005816F9" w:rsidRDefault="005816F9">
      <w:pPr>
        <w:pStyle w:val="Textoindependiente"/>
        <w:rPr>
          <w:sz w:val="20"/>
        </w:rPr>
      </w:pPr>
    </w:p>
    <w:p w14:paraId="0EE88D68" w14:textId="77777777" w:rsidR="005816F9" w:rsidRDefault="005816F9">
      <w:pPr>
        <w:pStyle w:val="Textoindependiente"/>
        <w:rPr>
          <w:sz w:val="20"/>
        </w:rPr>
      </w:pPr>
    </w:p>
    <w:p w14:paraId="0A859225" w14:textId="77777777" w:rsidR="005816F9" w:rsidRDefault="005816F9">
      <w:pPr>
        <w:pStyle w:val="Textoindependiente"/>
        <w:rPr>
          <w:sz w:val="20"/>
        </w:rPr>
      </w:pPr>
    </w:p>
    <w:p w14:paraId="4144543B" w14:textId="77777777" w:rsidR="005816F9" w:rsidRDefault="005816F9">
      <w:pPr>
        <w:pStyle w:val="Textoindependiente"/>
        <w:rPr>
          <w:sz w:val="20"/>
        </w:rPr>
      </w:pPr>
    </w:p>
    <w:p w14:paraId="75603D83" w14:textId="77777777" w:rsidR="005816F9" w:rsidRDefault="005816F9">
      <w:pPr>
        <w:pStyle w:val="Textoindependiente"/>
        <w:rPr>
          <w:sz w:val="20"/>
        </w:rPr>
      </w:pPr>
    </w:p>
    <w:p w14:paraId="0824C1E1" w14:textId="77777777" w:rsidR="005816F9" w:rsidRDefault="005816F9">
      <w:pPr>
        <w:pStyle w:val="Textoindependiente"/>
        <w:rPr>
          <w:sz w:val="20"/>
        </w:rPr>
      </w:pPr>
    </w:p>
    <w:p w14:paraId="052E8ED0" w14:textId="77777777" w:rsidR="005816F9" w:rsidRDefault="005816F9">
      <w:pPr>
        <w:pStyle w:val="Textoindependiente"/>
        <w:rPr>
          <w:sz w:val="20"/>
        </w:rPr>
      </w:pPr>
    </w:p>
    <w:p w14:paraId="66296C45" w14:textId="77777777" w:rsidR="005816F9" w:rsidRDefault="005816F9">
      <w:pPr>
        <w:pStyle w:val="Textoindependiente"/>
        <w:rPr>
          <w:sz w:val="20"/>
        </w:rPr>
      </w:pPr>
    </w:p>
    <w:p w14:paraId="5E2B816F" w14:textId="77777777" w:rsidR="005816F9" w:rsidRDefault="005816F9">
      <w:pPr>
        <w:pStyle w:val="Textoindependiente"/>
        <w:rPr>
          <w:sz w:val="20"/>
        </w:rPr>
      </w:pPr>
    </w:p>
    <w:p w14:paraId="46116E85" w14:textId="77777777" w:rsidR="005816F9" w:rsidRDefault="005816F9">
      <w:pPr>
        <w:pStyle w:val="Textoindependiente"/>
        <w:spacing w:before="221"/>
        <w:rPr>
          <w:sz w:val="20"/>
        </w:rPr>
      </w:pPr>
    </w:p>
    <w:p w14:paraId="25C9AD13" w14:textId="77777777" w:rsidR="005816F9" w:rsidRDefault="005816F9">
      <w:pPr>
        <w:pStyle w:val="Textoindependiente"/>
        <w:rPr>
          <w:sz w:val="20"/>
        </w:rPr>
        <w:sectPr w:rsidR="005816F9">
          <w:footerReference w:type="default" r:id="rId7"/>
          <w:pgSz w:w="12240" w:h="18720"/>
          <w:pgMar w:top="1600" w:right="0" w:bottom="0" w:left="1440" w:header="0" w:footer="0" w:gutter="0"/>
          <w:cols w:space="720"/>
        </w:sectPr>
      </w:pPr>
    </w:p>
    <w:p w14:paraId="450173B0" w14:textId="77777777" w:rsidR="005816F9" w:rsidRDefault="0003155A">
      <w:pPr>
        <w:spacing w:before="116" w:line="208" w:lineRule="auto"/>
        <w:ind w:left="2760"/>
        <w:jc w:val="both"/>
        <w:rPr>
          <w:sz w:val="18"/>
        </w:rPr>
      </w:pPr>
      <w:r>
        <w:rPr>
          <w:sz w:val="18"/>
        </w:rPr>
        <w:t>Este documento tiene firma electrónica y su original puede ser</w:t>
      </w:r>
      <w:r>
        <w:rPr>
          <w:spacing w:val="40"/>
          <w:sz w:val="18"/>
        </w:rPr>
        <w:t xml:space="preserve"> </w:t>
      </w:r>
      <w:r>
        <w:rPr>
          <w:sz w:val="18"/>
        </w:rPr>
        <w:t xml:space="preserve">validado en </w:t>
      </w:r>
      <w:hyperlink r:id="rId8">
        <w:r>
          <w:rPr>
            <w:sz w:val="18"/>
          </w:rPr>
          <w:t>http://verificadoc.pjud.cl</w:t>
        </w:r>
      </w:hyperlink>
      <w:r>
        <w:rPr>
          <w:sz w:val="18"/>
        </w:rPr>
        <w:t xml:space="preserve"> o en la tramitación de</w:t>
      </w:r>
      <w:r>
        <w:rPr>
          <w:spacing w:val="40"/>
          <w:sz w:val="18"/>
        </w:rPr>
        <w:t xml:space="preserve"> </w:t>
      </w:r>
      <w:r>
        <w:rPr>
          <w:sz w:val="18"/>
        </w:rPr>
        <w:t>la causa. En aquellos</w:t>
      </w:r>
      <w:r>
        <w:rPr>
          <w:spacing w:val="40"/>
          <w:sz w:val="18"/>
        </w:rPr>
        <w:t xml:space="preserve"> </w:t>
      </w:r>
      <w:r>
        <w:rPr>
          <w:sz w:val="18"/>
        </w:rPr>
        <w:t>documentos</w:t>
      </w:r>
      <w:r>
        <w:rPr>
          <w:spacing w:val="40"/>
          <w:sz w:val="18"/>
        </w:rPr>
        <w:t xml:space="preserve"> </w:t>
      </w:r>
      <w:r>
        <w:rPr>
          <w:sz w:val="18"/>
        </w:rPr>
        <w:t>en</w:t>
      </w:r>
      <w:r>
        <w:rPr>
          <w:spacing w:val="40"/>
          <w:sz w:val="18"/>
        </w:rPr>
        <w:t xml:space="preserve"> </w:t>
      </w:r>
      <w:r>
        <w:rPr>
          <w:sz w:val="18"/>
        </w:rPr>
        <w:t>que</w:t>
      </w:r>
      <w:r>
        <w:rPr>
          <w:spacing w:val="40"/>
          <w:sz w:val="18"/>
        </w:rPr>
        <w:t xml:space="preserve"> </w:t>
      </w:r>
      <w:r>
        <w:rPr>
          <w:sz w:val="18"/>
        </w:rPr>
        <w:t>se visualiza la hora, esta corresponde al ho</w:t>
      </w:r>
      <w:r>
        <w:rPr>
          <w:sz w:val="18"/>
        </w:rPr>
        <w:t>rario establecido para Chile Continental.</w:t>
      </w:r>
    </w:p>
    <w:p w14:paraId="63C01335" w14:textId="77777777" w:rsidR="005816F9" w:rsidRDefault="0003155A">
      <w:pPr>
        <w:spacing w:before="2" w:after="24"/>
        <w:rPr>
          <w:sz w:val="5"/>
        </w:rPr>
      </w:pPr>
      <w:r>
        <w:br w:type="column"/>
      </w:r>
    </w:p>
    <w:p w14:paraId="5AADC426" w14:textId="77777777" w:rsidR="005816F9" w:rsidRDefault="0003155A">
      <w:pPr>
        <w:pStyle w:val="Textoindependiente"/>
        <w:ind w:left="137"/>
        <w:rPr>
          <w:sz w:val="20"/>
        </w:rPr>
      </w:pPr>
      <w:r>
        <w:rPr>
          <w:noProof/>
          <w:sz w:val="20"/>
        </w:rPr>
        <w:drawing>
          <wp:inline distT="0" distB="0" distL="0" distR="0" wp14:anchorId="6CE2C95D" wp14:editId="5353F6EF">
            <wp:extent cx="1271587" cy="3814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271587" cy="381476"/>
                    </a:xfrm>
                    <a:prstGeom prst="rect">
                      <a:avLst/>
                    </a:prstGeom>
                  </pic:spPr>
                </pic:pic>
              </a:graphicData>
            </a:graphic>
          </wp:inline>
        </w:drawing>
      </w:r>
    </w:p>
    <w:p w14:paraId="574AD539" w14:textId="77777777" w:rsidR="005816F9" w:rsidRDefault="0003155A">
      <w:pPr>
        <w:spacing w:before="9"/>
        <w:ind w:left="514"/>
        <w:rPr>
          <w:sz w:val="16"/>
        </w:rPr>
      </w:pPr>
      <w:r>
        <w:rPr>
          <w:spacing w:val="-2"/>
          <w:sz w:val="16"/>
        </w:rPr>
        <w:t>GEKEBTCWDYB</w:t>
      </w:r>
    </w:p>
    <w:sectPr w:rsidR="005816F9">
      <w:type w:val="continuous"/>
      <w:pgSz w:w="12240" w:h="18720"/>
      <w:pgMar w:top="2160" w:right="0" w:bottom="960" w:left="1440" w:header="0" w:footer="0" w:gutter="0"/>
      <w:cols w:num="2" w:space="720" w:equalWidth="0">
        <w:col w:w="8423" w:space="40"/>
        <w:col w:w="23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CC4DD" w14:textId="77777777" w:rsidR="0003155A" w:rsidRDefault="0003155A">
      <w:r>
        <w:separator/>
      </w:r>
    </w:p>
  </w:endnote>
  <w:endnote w:type="continuationSeparator" w:id="0">
    <w:p w14:paraId="724EDB82" w14:textId="77777777" w:rsidR="0003155A" w:rsidRDefault="00031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E2693" w14:textId="77777777" w:rsidR="005816F9" w:rsidRDefault="0003155A">
    <w:pPr>
      <w:pStyle w:val="Textoindependiente"/>
      <w:spacing w:line="14" w:lineRule="auto"/>
      <w:rPr>
        <w:sz w:val="20"/>
      </w:rPr>
    </w:pPr>
    <w:r>
      <w:rPr>
        <w:noProof/>
        <w:sz w:val="20"/>
      </w:rPr>
      <w:drawing>
        <wp:anchor distT="0" distB="0" distL="0" distR="0" simplePos="0" relativeHeight="487502336" behindDoc="1" locked="0" layoutInCell="1" allowOverlap="1" wp14:anchorId="3E32E7A4" wp14:editId="41ED4B6B">
          <wp:simplePos x="0" y="0"/>
          <wp:positionH relativeFrom="page">
            <wp:posOffset>6375400</wp:posOffset>
          </wp:positionH>
          <wp:positionV relativeFrom="page">
            <wp:posOffset>11277600</wp:posOffset>
          </wp:positionV>
          <wp:extent cx="1270000"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000" cy="381000"/>
                  </a:xfrm>
                  <a:prstGeom prst="rect">
                    <a:avLst/>
                  </a:prstGeom>
                </pic:spPr>
              </pic:pic>
            </a:graphicData>
          </a:graphic>
        </wp:anchor>
      </w:drawing>
    </w:r>
    <w:r>
      <w:rPr>
        <w:noProof/>
        <w:sz w:val="20"/>
      </w:rPr>
      <mc:AlternateContent>
        <mc:Choice Requires="wps">
          <w:drawing>
            <wp:anchor distT="0" distB="0" distL="0" distR="0" simplePos="0" relativeHeight="487502848" behindDoc="1" locked="0" layoutInCell="1" allowOverlap="1" wp14:anchorId="477318F2" wp14:editId="2590C3EC">
              <wp:simplePos x="0" y="0"/>
              <wp:positionH relativeFrom="page">
                <wp:posOffset>6602476</wp:posOffset>
              </wp:positionH>
              <wp:positionV relativeFrom="page">
                <wp:posOffset>11655524</wp:posOffset>
              </wp:positionV>
              <wp:extent cx="81597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975" cy="139065"/>
                      </a:xfrm>
                      <a:prstGeom prst="rect">
                        <a:avLst/>
                      </a:prstGeom>
                    </wps:spPr>
                    <wps:txbx>
                      <w:txbxContent>
                        <w:p w14:paraId="3DB8FD91" w14:textId="77777777" w:rsidR="005816F9" w:rsidRDefault="0003155A">
                          <w:pPr>
                            <w:spacing w:before="14"/>
                            <w:ind w:left="20"/>
                            <w:rPr>
                              <w:sz w:val="16"/>
                            </w:rPr>
                          </w:pPr>
                          <w:r>
                            <w:rPr>
                              <w:spacing w:val="-2"/>
                              <w:sz w:val="16"/>
                            </w:rPr>
                            <w:t>GEKEBTCWDYB</w:t>
                          </w:r>
                        </w:p>
                      </w:txbxContent>
                    </wps:txbx>
                    <wps:bodyPr wrap="square" lIns="0" tIns="0" rIns="0" bIns="0" rtlCol="0">
                      <a:noAutofit/>
                    </wps:bodyPr>
                  </wps:wsp>
                </a:graphicData>
              </a:graphic>
            </wp:anchor>
          </w:drawing>
        </mc:Choice>
        <mc:Fallback>
          <w:pict>
            <v:shapetype w14:anchorId="477318F2" id="_x0000_t202" coordsize="21600,21600" o:spt="202" path="m,l,21600r21600,l21600,xe">
              <v:stroke joinstyle="miter"/>
              <v:path gradientshapeok="t" o:connecttype="rect"/>
            </v:shapetype>
            <v:shape id="Textbox 2" o:spid="_x0000_s1026" type="#_x0000_t202" style="position:absolute;margin-left:519.9pt;margin-top:917.75pt;width:64.25pt;height:10.95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" filled="f" stroked="f">
              <v:textbox inset="0,0,0,0">
                <w:txbxContent>
                  <w:p w14:paraId="3DB8FD91" w14:textId="77777777" w:rsidR="005816F9" w:rsidRDefault="0003155A">
                    <w:pPr>
                      <w:spacing w:before="14"/>
                      <w:ind w:left="20"/>
                      <w:rPr>
                        <w:sz w:val="16"/>
                      </w:rPr>
                    </w:pPr>
                    <w:r>
                      <w:rPr>
                        <w:spacing w:val="-2"/>
                        <w:sz w:val="16"/>
                      </w:rPr>
                      <w:t>GEKEBTCWDYB</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9115" w14:textId="77777777" w:rsidR="005816F9" w:rsidRDefault="005816F9">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9C806" w14:textId="77777777" w:rsidR="0003155A" w:rsidRDefault="0003155A">
      <w:r>
        <w:separator/>
      </w:r>
    </w:p>
  </w:footnote>
  <w:footnote w:type="continuationSeparator" w:id="0">
    <w:p w14:paraId="3369DF3C" w14:textId="77777777" w:rsidR="0003155A" w:rsidRDefault="00031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6F9"/>
    <w:rsid w:val="0003155A"/>
    <w:rsid w:val="005816F9"/>
    <w:rsid w:val="00CB151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D20AF"/>
  <w15:docId w15:val="{C6AAA67E-44DF-4B6B-8DB6-E0E9E6CC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before="138"/>
      <w:ind w:left="971"/>
    </w:pPr>
    <w:rPr>
      <w:rFonts w:ascii="Arial" w:eastAsia="Arial" w:hAnsi="Arial" w:cs="Arial"/>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verificadoc.pjud.cl/" TargetMode="Externa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1677</Words>
  <Characters>9227</Characters>
  <Application>Microsoft Office Word</Application>
  <DocSecurity>0</DocSecurity>
  <Lines>76</Lines>
  <Paragraphs>21</Paragraphs>
  <ScaleCrop>false</ScaleCrop>
  <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Sala04_cs</dc:creator>
  <cp:lastModifiedBy>USUARIO</cp:lastModifiedBy>
  <cp:revision>2</cp:revision>
  <dcterms:created xsi:type="dcterms:W3CDTF">2026-02-10T18:50:00Z</dcterms:created>
  <dcterms:modified xsi:type="dcterms:W3CDTF">2026-02-10T18:50:00Z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2026-02-02T00:00:00Z</vt:filetime>
  </property>
  <property fmtid="{D5CDD505-2E9C-101B-9397-08002B2CF9AE}" pid="3" name="Creator">
    <vt:lpwstr>Writer</vt:lpwstr>
  </property>
  <property fmtid="{D5CDD505-2E9C-101B-9397-08002B2CF9AE}" pid="4" name="LastSaved">
    <vt:filetime>2026-02-10T00:00:00Z</vt:filetime>
  </property>
  <property fmtid="{D5CDD505-2E9C-101B-9397-08002B2CF9AE}" pid="5" name="Producer">
    <vt:lpwstr>OpenOffice.org 3.3; modified using iText® 5.5.0 ©2000-2013 iText Group NV (AGPL-version)</vt:lpwstr>
  </property>
</Properties>
</file>