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1801A" w14:textId="77777777" w:rsidR="00DA6B70" w:rsidRDefault="0026203F">
      <w:pPr>
        <w:pStyle w:val="Textoindependiente"/>
        <w:spacing w:before="77"/>
        <w:ind w:left="971"/>
      </w:pPr>
      <w:r>
        <w:t>Santiago,</w:t>
      </w:r>
      <w:r>
        <w:rPr>
          <w:spacing w:val="-3"/>
        </w:rPr>
        <w:t xml:space="preserve"> </w:t>
      </w:r>
      <w:r>
        <w:t>diecinueve</w:t>
      </w:r>
      <w:r>
        <w:rPr>
          <w:spacing w:val="-4"/>
        </w:rPr>
        <w:t xml:space="preserve"> </w:t>
      </w:r>
      <w:r>
        <w:t>de</w:t>
      </w:r>
      <w:r>
        <w:rPr>
          <w:spacing w:val="-3"/>
        </w:rPr>
        <w:t xml:space="preserve"> </w:t>
      </w:r>
      <w:r>
        <w:t>febrero</w:t>
      </w:r>
      <w:r>
        <w:rPr>
          <w:spacing w:val="-4"/>
        </w:rPr>
        <w:t xml:space="preserve"> </w:t>
      </w:r>
      <w:r>
        <w:t>de</w:t>
      </w:r>
      <w:r>
        <w:rPr>
          <w:spacing w:val="-5"/>
        </w:rPr>
        <w:t xml:space="preserve"> </w:t>
      </w:r>
      <w:r>
        <w:t>dos</w:t>
      </w:r>
      <w:r>
        <w:rPr>
          <w:spacing w:val="-2"/>
        </w:rPr>
        <w:t xml:space="preserve"> </w:t>
      </w:r>
      <w:r>
        <w:t>mil</w:t>
      </w:r>
      <w:r>
        <w:rPr>
          <w:spacing w:val="-3"/>
        </w:rPr>
        <w:t xml:space="preserve"> </w:t>
      </w:r>
      <w:r>
        <w:rPr>
          <w:spacing w:val="-2"/>
        </w:rPr>
        <w:t>veintiséis.</w:t>
      </w:r>
    </w:p>
    <w:p w14:paraId="68EC0463" w14:textId="77777777" w:rsidR="00DA6B70" w:rsidRDefault="0026203F">
      <w:pPr>
        <w:pStyle w:val="Ttulo"/>
      </w:pPr>
      <w:r>
        <w:t>Vistos</w:t>
      </w:r>
      <w:r>
        <w:rPr>
          <w:spacing w:val="-4"/>
        </w:rPr>
        <w:t xml:space="preserve"> </w:t>
      </w:r>
      <w:r>
        <w:t>y</w:t>
      </w:r>
      <w:r>
        <w:rPr>
          <w:spacing w:val="-3"/>
        </w:rPr>
        <w:t xml:space="preserve"> </w:t>
      </w:r>
      <w:r>
        <w:t>teniendo</w:t>
      </w:r>
      <w:r>
        <w:rPr>
          <w:spacing w:val="-2"/>
        </w:rPr>
        <w:t xml:space="preserve"> presente:</w:t>
      </w:r>
    </w:p>
    <w:p w14:paraId="41714AD8" w14:textId="14D16B10" w:rsidR="00DA6B70" w:rsidRDefault="0026203F">
      <w:pPr>
        <w:pStyle w:val="Textoindependiente"/>
        <w:spacing w:before="276" w:line="480" w:lineRule="auto"/>
        <w:ind w:left="264" w:right="1708" w:firstLine="708"/>
        <w:jc w:val="both"/>
      </w:pPr>
      <w:r>
        <w:rPr>
          <w:rFonts w:ascii="Arial" w:hAnsi="Arial"/>
          <w:b/>
        </w:rPr>
        <w:t xml:space="preserve">Primero: </w:t>
      </w:r>
      <w:r>
        <w:t xml:space="preserve">Que comparece en estos antecedentes el abogado don José Luis Muñoz Vidal, en representación de </w:t>
      </w:r>
      <w:r w:rsidR="008C53BD">
        <w:t>……………</w:t>
      </w:r>
      <w:proofErr w:type="gramStart"/>
      <w:r w:rsidR="008C53BD">
        <w:t>…….</w:t>
      </w:r>
      <w:proofErr w:type="gramEnd"/>
      <w:r>
        <w:t>, solicitando la declaración previa para el ejercicio de la acción indemnizatoria por error judicial consagrada en el artículo 19, N°7, letra i), de la Constitución Política de la República, respecto del actuar del Ministerio Público y del 1° Juzgado de Garantía de</w:t>
      </w:r>
      <w:r>
        <w:rPr>
          <w:spacing w:val="-4"/>
        </w:rPr>
        <w:t xml:space="preserve"> </w:t>
      </w:r>
      <w:r>
        <w:t>Santiago,</w:t>
      </w:r>
      <w:r>
        <w:rPr>
          <w:spacing w:val="-3"/>
        </w:rPr>
        <w:t xml:space="preserve"> </w:t>
      </w:r>
      <w:r>
        <w:t>al</w:t>
      </w:r>
      <w:r>
        <w:rPr>
          <w:spacing w:val="-2"/>
        </w:rPr>
        <w:t xml:space="preserve"> </w:t>
      </w:r>
      <w:r>
        <w:t>haber</w:t>
      </w:r>
      <w:r>
        <w:rPr>
          <w:spacing w:val="-2"/>
        </w:rPr>
        <w:t xml:space="preserve"> </w:t>
      </w:r>
      <w:r>
        <w:t>sido</w:t>
      </w:r>
      <w:r>
        <w:rPr>
          <w:spacing w:val="-6"/>
        </w:rPr>
        <w:t xml:space="preserve"> </w:t>
      </w:r>
      <w:r>
        <w:t>imputado</w:t>
      </w:r>
      <w:r>
        <w:rPr>
          <w:spacing w:val="-6"/>
        </w:rPr>
        <w:t xml:space="preserve"> </w:t>
      </w:r>
      <w:r>
        <w:t>por</w:t>
      </w:r>
      <w:r>
        <w:rPr>
          <w:spacing w:val="-2"/>
        </w:rPr>
        <w:t xml:space="preserve"> </w:t>
      </w:r>
      <w:r>
        <w:t>el</w:t>
      </w:r>
      <w:r>
        <w:rPr>
          <w:spacing w:val="-2"/>
        </w:rPr>
        <w:t xml:space="preserve"> </w:t>
      </w:r>
      <w:r>
        <w:t>delito</w:t>
      </w:r>
      <w:r>
        <w:rPr>
          <w:spacing w:val="-4"/>
        </w:rPr>
        <w:t xml:space="preserve"> </w:t>
      </w:r>
      <w:r>
        <w:t>de</w:t>
      </w:r>
      <w:r>
        <w:rPr>
          <w:spacing w:val="-4"/>
        </w:rPr>
        <w:t xml:space="preserve"> </w:t>
      </w:r>
      <w:r>
        <w:t>homicidio,</w:t>
      </w:r>
      <w:r>
        <w:rPr>
          <w:spacing w:val="-3"/>
        </w:rPr>
        <w:t xml:space="preserve"> </w:t>
      </w:r>
      <w:r>
        <w:t>del</w:t>
      </w:r>
      <w:r>
        <w:rPr>
          <w:spacing w:val="-4"/>
        </w:rPr>
        <w:t xml:space="preserve"> </w:t>
      </w:r>
      <w:r>
        <w:t>que</w:t>
      </w:r>
      <w:r>
        <w:rPr>
          <w:spacing w:val="-4"/>
        </w:rPr>
        <w:t xml:space="preserve"> </w:t>
      </w:r>
      <w:r>
        <w:t>en</w:t>
      </w:r>
      <w:r>
        <w:rPr>
          <w:spacing w:val="-2"/>
        </w:rPr>
        <w:t xml:space="preserve"> </w:t>
      </w:r>
      <w:r>
        <w:t>definitiva resultó absuelto.</w:t>
      </w:r>
    </w:p>
    <w:p w14:paraId="32510F98" w14:textId="77777777" w:rsidR="00DA6B70" w:rsidRDefault="0026203F">
      <w:pPr>
        <w:pStyle w:val="Textoindependiente"/>
        <w:spacing w:line="480" w:lineRule="auto"/>
        <w:ind w:left="264" w:right="1707" w:firstLine="708"/>
        <w:jc w:val="both"/>
      </w:pPr>
      <w:r>
        <w:rPr>
          <w:rFonts w:ascii="Arial" w:hAnsi="Arial"/>
          <w:b/>
        </w:rPr>
        <w:t xml:space="preserve">Segundo: </w:t>
      </w:r>
      <w:r>
        <w:t>Que, como fundamento de su acción, el recurrente señala que con fecha 21 de enero del año 2019 fue formalizado por el delito de homicidio simple consumado, decretándose en la misma oportunidad la medida cautelar de prisión preventiva, la que en forma posterior fue revocada por la Corte de Apelaciones de Santiago, disponiéndose en su reemplazo la medida cautelar de arresto domiciliario total, arraigo nacional y prohibición de porte y tenencia de armas de fuego, siendo la primera de las medidas nuevamente mod</w:t>
      </w:r>
      <w:r>
        <w:t>ificada por la de arresto domiciliario parcial nocturno, la que se encontró vigente hasta el</w:t>
      </w:r>
      <w:r>
        <w:rPr>
          <w:spacing w:val="40"/>
        </w:rPr>
        <w:t xml:space="preserve"> </w:t>
      </w:r>
      <w:r>
        <w:t>término de la causa en la que fue imputado, acusado y finalmente absuelto por sentencia dictada por el 1° Tribunal de Juicio Oral en lo penal de Santiago, con fecha 27 de junio del año 2024, en la que determinó que actuó en legítima defensa. Agrega que el Ministerio Público y la parte querellante interpusieron recursos de nulidad en contra de la sentencia, los que fueron rechazados por la Corte de Apelaciones, con l</w:t>
      </w:r>
      <w:r>
        <w:t>o que quedó firme su absolución.</w:t>
      </w:r>
    </w:p>
    <w:p w14:paraId="6AD00CDD" w14:textId="77777777" w:rsidR="00DA6B70" w:rsidRDefault="00DA6B70">
      <w:pPr>
        <w:pStyle w:val="Textoindependiente"/>
        <w:spacing w:line="480" w:lineRule="auto"/>
        <w:jc w:val="both"/>
        <w:sectPr w:rsidR="00DA6B70">
          <w:footerReference w:type="default" r:id="rId7"/>
          <w:type w:val="continuous"/>
          <w:pgSz w:w="12240" w:h="15840"/>
          <w:pgMar w:top="1340" w:right="0" w:bottom="960" w:left="1440" w:header="0" w:footer="760" w:gutter="0"/>
          <w:pgNumType w:start="1"/>
          <w:cols w:space="720"/>
        </w:sectPr>
      </w:pPr>
    </w:p>
    <w:p w14:paraId="4A8A6189" w14:textId="77777777" w:rsidR="00DA6B70" w:rsidRDefault="0026203F">
      <w:pPr>
        <w:pStyle w:val="Textoindependiente"/>
        <w:spacing w:before="77" w:line="480" w:lineRule="auto"/>
        <w:ind w:left="264" w:right="1705" w:firstLine="708"/>
        <w:jc w:val="both"/>
      </w:pPr>
      <w:r>
        <w:lastRenderedPageBreak/>
        <w:t>Indica que el habérsele imputado los cargos antes mencionados, constituyó un acto erróneo e injusto, por lo que debe declararse la responsabilidad civil del Estado</w:t>
      </w:r>
      <w:r>
        <w:rPr>
          <w:spacing w:val="-4"/>
        </w:rPr>
        <w:t xml:space="preserve"> </w:t>
      </w:r>
      <w:r>
        <w:t>por</w:t>
      </w:r>
      <w:r>
        <w:rPr>
          <w:spacing w:val="-3"/>
        </w:rPr>
        <w:t xml:space="preserve"> </w:t>
      </w:r>
      <w:r>
        <w:t>los</w:t>
      </w:r>
      <w:r>
        <w:rPr>
          <w:spacing w:val="-2"/>
        </w:rPr>
        <w:t xml:space="preserve"> </w:t>
      </w:r>
      <w:r>
        <w:t>daños</w:t>
      </w:r>
      <w:r>
        <w:rPr>
          <w:spacing w:val="-3"/>
        </w:rPr>
        <w:t xml:space="preserve"> </w:t>
      </w:r>
      <w:r>
        <w:t>causados,</w:t>
      </w:r>
      <w:r>
        <w:rPr>
          <w:spacing w:val="-2"/>
        </w:rPr>
        <w:t xml:space="preserve"> </w:t>
      </w:r>
      <w:r>
        <w:t>tanto</w:t>
      </w:r>
      <w:r>
        <w:rPr>
          <w:spacing w:val="-3"/>
        </w:rPr>
        <w:t xml:space="preserve"> </w:t>
      </w:r>
      <w:r>
        <w:t>por</w:t>
      </w:r>
      <w:r>
        <w:rPr>
          <w:spacing w:val="-3"/>
        </w:rPr>
        <w:t xml:space="preserve"> </w:t>
      </w:r>
      <w:r>
        <w:t>el</w:t>
      </w:r>
      <w:r>
        <w:rPr>
          <w:spacing w:val="-1"/>
        </w:rPr>
        <w:t xml:space="preserve"> </w:t>
      </w:r>
      <w:r>
        <w:t>tiempo</w:t>
      </w:r>
      <w:r>
        <w:rPr>
          <w:spacing w:val="-3"/>
        </w:rPr>
        <w:t xml:space="preserve"> </w:t>
      </w:r>
      <w:r>
        <w:t>que</w:t>
      </w:r>
      <w:r>
        <w:rPr>
          <w:spacing w:val="-3"/>
        </w:rPr>
        <w:t xml:space="preserve"> </w:t>
      </w:r>
      <w:r>
        <w:t>estuvo</w:t>
      </w:r>
      <w:r>
        <w:rPr>
          <w:spacing w:val="-4"/>
        </w:rPr>
        <w:t xml:space="preserve"> </w:t>
      </w:r>
      <w:r>
        <w:t>privado</w:t>
      </w:r>
      <w:r>
        <w:rPr>
          <w:spacing w:val="-3"/>
        </w:rPr>
        <w:t xml:space="preserve"> </w:t>
      </w:r>
      <w:r>
        <w:t>de</w:t>
      </w:r>
      <w:r>
        <w:rPr>
          <w:spacing w:val="-4"/>
        </w:rPr>
        <w:t xml:space="preserve"> </w:t>
      </w:r>
      <w:r>
        <w:t xml:space="preserve">libertad, como por haber perdido su trabajo como funcionario público en la Policía de Investigaciones, ya que a consecuencia de la imputación errónea y arbitraria fue </w:t>
      </w:r>
      <w:r>
        <w:rPr>
          <w:spacing w:val="-2"/>
        </w:rPr>
        <w:t>destituido.</w:t>
      </w:r>
    </w:p>
    <w:p w14:paraId="39CCAA4C" w14:textId="77777777" w:rsidR="00DA6B70" w:rsidRDefault="0026203F">
      <w:pPr>
        <w:pStyle w:val="Textoindependiente"/>
        <w:spacing w:line="480" w:lineRule="auto"/>
        <w:ind w:left="264" w:right="1710" w:firstLine="708"/>
        <w:jc w:val="both"/>
      </w:pPr>
      <w:r>
        <w:t>Concluye, solicitando que en virtud de lo dispuesto en el artículo 19 Nº7, letra i) de la Constitución Política del Estado y lo establecido en el Auto Acordado de</w:t>
      </w:r>
      <w:r>
        <w:rPr>
          <w:spacing w:val="-4"/>
        </w:rPr>
        <w:t xml:space="preserve"> </w:t>
      </w:r>
      <w:r>
        <w:t>este</w:t>
      </w:r>
      <w:r>
        <w:rPr>
          <w:spacing w:val="-4"/>
        </w:rPr>
        <w:t xml:space="preserve"> </w:t>
      </w:r>
      <w:r>
        <w:t>alto</w:t>
      </w:r>
      <w:r>
        <w:rPr>
          <w:spacing w:val="-2"/>
        </w:rPr>
        <w:t xml:space="preserve"> </w:t>
      </w:r>
      <w:r>
        <w:t>tribunal</w:t>
      </w:r>
      <w:r>
        <w:rPr>
          <w:spacing w:val="-4"/>
        </w:rPr>
        <w:t xml:space="preserve"> </w:t>
      </w:r>
      <w:r>
        <w:t>de</w:t>
      </w:r>
      <w:r>
        <w:rPr>
          <w:spacing w:val="-4"/>
        </w:rPr>
        <w:t xml:space="preserve"> </w:t>
      </w:r>
      <w:r>
        <w:t>16</w:t>
      </w:r>
      <w:r>
        <w:rPr>
          <w:spacing w:val="-4"/>
        </w:rPr>
        <w:t xml:space="preserve"> </w:t>
      </w:r>
      <w:r>
        <w:t>de</w:t>
      </w:r>
      <w:r>
        <w:rPr>
          <w:spacing w:val="-4"/>
        </w:rPr>
        <w:t xml:space="preserve"> </w:t>
      </w:r>
      <w:r>
        <w:t>mayo</w:t>
      </w:r>
      <w:r>
        <w:rPr>
          <w:spacing w:val="-4"/>
        </w:rPr>
        <w:t xml:space="preserve"> </w:t>
      </w:r>
      <w:r>
        <w:t>de</w:t>
      </w:r>
      <w:r>
        <w:rPr>
          <w:spacing w:val="-6"/>
        </w:rPr>
        <w:t xml:space="preserve"> </w:t>
      </w:r>
      <w:r>
        <w:t>1996,</w:t>
      </w:r>
      <w:r>
        <w:rPr>
          <w:spacing w:val="-3"/>
        </w:rPr>
        <w:t xml:space="preserve"> </w:t>
      </w:r>
      <w:r>
        <w:t>se</w:t>
      </w:r>
      <w:r>
        <w:rPr>
          <w:spacing w:val="-4"/>
        </w:rPr>
        <w:t xml:space="preserve"> </w:t>
      </w:r>
      <w:r>
        <w:t>sirva</w:t>
      </w:r>
      <w:r>
        <w:rPr>
          <w:spacing w:val="-4"/>
        </w:rPr>
        <w:t xml:space="preserve"> </w:t>
      </w:r>
      <w:r>
        <w:t>disponer,</w:t>
      </w:r>
      <w:r>
        <w:rPr>
          <w:spacing w:val="-3"/>
        </w:rPr>
        <w:t xml:space="preserve"> </w:t>
      </w:r>
      <w:r>
        <w:t>previos</w:t>
      </w:r>
      <w:r>
        <w:rPr>
          <w:spacing w:val="-2"/>
        </w:rPr>
        <w:t xml:space="preserve"> </w:t>
      </w:r>
      <w:r>
        <w:t>los</w:t>
      </w:r>
      <w:r>
        <w:rPr>
          <w:spacing w:val="-2"/>
        </w:rPr>
        <w:t xml:space="preserve"> </w:t>
      </w:r>
      <w:r>
        <w:t>trámites allí establecidos, la autorización previa de error judicial, a fin de poder ejercer la acción indemnizatoria constitucional que procede</w:t>
      </w:r>
    </w:p>
    <w:p w14:paraId="7BAE042A" w14:textId="77777777" w:rsidR="00DA6B70" w:rsidRDefault="0026203F">
      <w:pPr>
        <w:pStyle w:val="Textoindependiente"/>
        <w:spacing w:line="480" w:lineRule="auto"/>
        <w:ind w:left="264" w:right="1708" w:firstLine="708"/>
        <w:jc w:val="both"/>
      </w:pPr>
      <w:r>
        <w:rPr>
          <w:rFonts w:ascii="Arial" w:hAnsi="Arial"/>
          <w:b/>
        </w:rPr>
        <w:t xml:space="preserve">Tercero: </w:t>
      </w:r>
      <w:r>
        <w:t>Que el Consejo de Defensa del Estado evacúa el traslado que le fuera concedido, solicitando en primer término la declaración de extemporaneidad de</w:t>
      </w:r>
      <w:r>
        <w:rPr>
          <w:spacing w:val="-5"/>
        </w:rPr>
        <w:t xml:space="preserve"> </w:t>
      </w:r>
      <w:r>
        <w:t>la</w:t>
      </w:r>
      <w:r>
        <w:rPr>
          <w:spacing w:val="-5"/>
        </w:rPr>
        <w:t xml:space="preserve"> </w:t>
      </w:r>
      <w:r>
        <w:t>acción</w:t>
      </w:r>
      <w:r>
        <w:rPr>
          <w:spacing w:val="-3"/>
        </w:rPr>
        <w:t xml:space="preserve"> </w:t>
      </w:r>
      <w:r>
        <w:t>interpuesta,</w:t>
      </w:r>
      <w:r>
        <w:rPr>
          <w:spacing w:val="-2"/>
        </w:rPr>
        <w:t xml:space="preserve"> </w:t>
      </w:r>
      <w:r>
        <w:t>dado</w:t>
      </w:r>
      <w:r>
        <w:rPr>
          <w:spacing w:val="-3"/>
        </w:rPr>
        <w:t xml:space="preserve"> </w:t>
      </w:r>
      <w:r>
        <w:t>que</w:t>
      </w:r>
      <w:r>
        <w:rPr>
          <w:spacing w:val="-3"/>
        </w:rPr>
        <w:t xml:space="preserve"> </w:t>
      </w:r>
      <w:r>
        <w:t>la</w:t>
      </w:r>
      <w:r>
        <w:rPr>
          <w:spacing w:val="-5"/>
        </w:rPr>
        <w:t xml:space="preserve"> </w:t>
      </w:r>
      <w:r>
        <w:t>sentencia</w:t>
      </w:r>
      <w:r>
        <w:rPr>
          <w:spacing w:val="-3"/>
        </w:rPr>
        <w:t xml:space="preserve"> </w:t>
      </w:r>
      <w:r>
        <w:t>absolutoria</w:t>
      </w:r>
      <w:r>
        <w:rPr>
          <w:spacing w:val="-3"/>
        </w:rPr>
        <w:t xml:space="preserve"> </w:t>
      </w:r>
      <w:r>
        <w:t>quedó</w:t>
      </w:r>
      <w:r>
        <w:rPr>
          <w:spacing w:val="-5"/>
        </w:rPr>
        <w:t xml:space="preserve"> </w:t>
      </w:r>
      <w:r>
        <w:t>ejecutoriada</w:t>
      </w:r>
      <w:r>
        <w:rPr>
          <w:spacing w:val="-3"/>
        </w:rPr>
        <w:t xml:space="preserve"> </w:t>
      </w:r>
      <w:r>
        <w:t>con fecha 28 de agosto del año 2024, sin que la acción le fuera notificada hasta el día 13 de marzo de 2025, de modo que han transcurrido más de los 6 meses que establece el artículo 19 N°7, letra i) de la Constitución Política de la República y el auto acordado de la Corte Suprema sobre la materia.</w:t>
      </w:r>
    </w:p>
    <w:p w14:paraId="5DE2C84D" w14:textId="77777777" w:rsidR="00DA6B70" w:rsidRDefault="0026203F">
      <w:pPr>
        <w:pStyle w:val="Textoindependiente"/>
        <w:spacing w:line="480" w:lineRule="auto"/>
        <w:ind w:left="264" w:right="1709" w:firstLine="708"/>
        <w:jc w:val="both"/>
      </w:pPr>
      <w:r>
        <w:t>En cuanto al fondo, alega que ni la actuación del Ministerio Público, ni las resoluciones dictadas por el Juzgado de Garantía son erróneas,</w:t>
      </w:r>
      <w:r>
        <w:rPr>
          <w:spacing w:val="40"/>
        </w:rPr>
        <w:t xml:space="preserve"> </w:t>
      </w:r>
      <w:r>
        <w:t xml:space="preserve">pues se apoyan en los antecedentes de la investigación, entre los que se encuentra el parte de detención del día de ocurrencia de los hechos, el informe de autopsia elaborado por </w:t>
      </w:r>
      <w:proofErr w:type="gramStart"/>
      <w:r>
        <w:t>la médico legista</w:t>
      </w:r>
      <w:proofErr w:type="gramEnd"/>
      <w:r>
        <w:t xml:space="preserve">, las declaraciones prestadas ante el fiscal por </w:t>
      </w:r>
      <w:proofErr w:type="gramStart"/>
      <w:r>
        <w:t>testigos presenciales</w:t>
      </w:r>
      <w:proofErr w:type="gramEnd"/>
      <w:r>
        <w:rPr>
          <w:spacing w:val="50"/>
        </w:rPr>
        <w:t xml:space="preserve"> </w:t>
      </w:r>
      <w:r>
        <w:t>de</w:t>
      </w:r>
      <w:r>
        <w:rPr>
          <w:spacing w:val="49"/>
        </w:rPr>
        <w:t xml:space="preserve"> </w:t>
      </w:r>
      <w:r>
        <w:t>los</w:t>
      </w:r>
      <w:r>
        <w:rPr>
          <w:spacing w:val="51"/>
        </w:rPr>
        <w:t xml:space="preserve"> </w:t>
      </w:r>
      <w:r>
        <w:t>hechos,</w:t>
      </w:r>
      <w:r>
        <w:rPr>
          <w:spacing w:val="52"/>
        </w:rPr>
        <w:t xml:space="preserve"> </w:t>
      </w:r>
      <w:r>
        <w:t>la</w:t>
      </w:r>
      <w:r>
        <w:rPr>
          <w:spacing w:val="49"/>
        </w:rPr>
        <w:t xml:space="preserve"> </w:t>
      </w:r>
      <w:r>
        <w:t>declaración</w:t>
      </w:r>
      <w:r>
        <w:rPr>
          <w:spacing w:val="51"/>
        </w:rPr>
        <w:t xml:space="preserve"> </w:t>
      </w:r>
      <w:r>
        <w:t>del</w:t>
      </w:r>
      <w:r>
        <w:rPr>
          <w:spacing w:val="52"/>
        </w:rPr>
        <w:t xml:space="preserve"> </w:t>
      </w:r>
      <w:r>
        <w:t>propio</w:t>
      </w:r>
      <w:r>
        <w:rPr>
          <w:spacing w:val="51"/>
        </w:rPr>
        <w:t xml:space="preserve"> </w:t>
      </w:r>
      <w:r>
        <w:t>imputado</w:t>
      </w:r>
      <w:r>
        <w:rPr>
          <w:spacing w:val="49"/>
        </w:rPr>
        <w:t xml:space="preserve"> </w:t>
      </w:r>
      <w:r>
        <w:t>y</w:t>
      </w:r>
      <w:r>
        <w:rPr>
          <w:spacing w:val="51"/>
        </w:rPr>
        <w:t xml:space="preserve"> </w:t>
      </w:r>
      <w:r>
        <w:t>los</w:t>
      </w:r>
      <w:r>
        <w:rPr>
          <w:spacing w:val="51"/>
        </w:rPr>
        <w:t xml:space="preserve"> </w:t>
      </w:r>
      <w:r>
        <w:rPr>
          <w:spacing w:val="-2"/>
        </w:rPr>
        <w:t>informes</w:t>
      </w:r>
    </w:p>
    <w:p w14:paraId="602B145A" w14:textId="77777777" w:rsidR="00DA6B70" w:rsidRDefault="00DA6B70">
      <w:pPr>
        <w:pStyle w:val="Textoindependiente"/>
        <w:spacing w:line="480" w:lineRule="auto"/>
        <w:jc w:val="both"/>
        <w:sectPr w:rsidR="00DA6B70">
          <w:pgSz w:w="12240" w:h="15840"/>
          <w:pgMar w:top="1340" w:right="0" w:bottom="960" w:left="1440" w:header="0" w:footer="760" w:gutter="0"/>
          <w:cols w:space="720"/>
        </w:sectPr>
      </w:pPr>
    </w:p>
    <w:p w14:paraId="6FB8AD7D" w14:textId="77777777" w:rsidR="00DA6B70" w:rsidRDefault="0026203F">
      <w:pPr>
        <w:pStyle w:val="Textoindependiente"/>
        <w:spacing w:before="77" w:line="480" w:lineRule="auto"/>
        <w:ind w:left="264" w:right="1709"/>
        <w:jc w:val="both"/>
      </w:pPr>
      <w:r>
        <w:lastRenderedPageBreak/>
        <w:t>periciales referidos a las lesiones e impactos de bala y la reconstitución de</w:t>
      </w:r>
      <w:r>
        <w:rPr>
          <w:spacing w:val="40"/>
        </w:rPr>
        <w:t xml:space="preserve"> </w:t>
      </w:r>
      <w:r>
        <w:t>escena. Agrega que la tesis de cargo se veía refrendada en el hecho de que la mayoría de los disparos fueron efectuados estando la víctima ya derribada, pues cae con el primer impacto, sumado a que se habría declarado durante la investigación que no atacó con un cuchillo en sus manos.</w:t>
      </w:r>
    </w:p>
    <w:p w14:paraId="1AE48AB9" w14:textId="77777777" w:rsidR="00DA6B70" w:rsidRDefault="0026203F">
      <w:pPr>
        <w:pStyle w:val="Textoindependiente"/>
        <w:spacing w:line="480" w:lineRule="auto"/>
        <w:ind w:left="264" w:right="1708" w:firstLine="708"/>
        <w:jc w:val="both"/>
      </w:pPr>
      <w:r>
        <w:t>Reitera la tesis presentada por el Ministerio Público en el recurso de nulidad, señalando que la sentencia fue dictada con error de derecho al no concurrir los presupuestos de la legítima defensa y hace presente, además, que los acusadores fueron eximidos del pago de las costas, por haber existido motivo plausible para litigar.</w:t>
      </w:r>
    </w:p>
    <w:p w14:paraId="4CAAADDA" w14:textId="77777777" w:rsidR="00DA6B70" w:rsidRDefault="0026203F">
      <w:pPr>
        <w:pStyle w:val="Textoindependiente"/>
        <w:spacing w:line="480" w:lineRule="auto"/>
        <w:ind w:left="264" w:right="1713" w:firstLine="708"/>
        <w:jc w:val="both"/>
      </w:pPr>
      <w:r>
        <w:rPr>
          <w:rFonts w:ascii="Arial" w:hAnsi="Arial"/>
          <w:b/>
        </w:rPr>
        <w:t xml:space="preserve">Cuarto: </w:t>
      </w:r>
      <w:r>
        <w:t xml:space="preserve">Que el señor fiscal judicial indica en su informe que la acción cumple con los requisitos de forma, dado que fue interpuesta con fecha 22 de febrero del año 2024, por lo que se presentó dentro del plazo establecido, sin que resulte procedente contabilizar aquel a partir de la fecha en que se notifica la </w:t>
      </w:r>
      <w:r>
        <w:rPr>
          <w:spacing w:val="-2"/>
        </w:rPr>
        <w:t>acción.</w:t>
      </w:r>
    </w:p>
    <w:p w14:paraId="4ADC6B72" w14:textId="77777777" w:rsidR="00DA6B70" w:rsidRDefault="0026203F">
      <w:pPr>
        <w:pStyle w:val="Textoindependiente"/>
        <w:spacing w:line="480" w:lineRule="auto"/>
        <w:ind w:left="264" w:right="1706" w:firstLine="708"/>
        <w:jc w:val="both"/>
      </w:pPr>
      <w:r>
        <w:t>Con relación al fondo, indica que no se advierte en las actuaciones del ministerio</w:t>
      </w:r>
      <w:r>
        <w:rPr>
          <w:spacing w:val="-4"/>
        </w:rPr>
        <w:t xml:space="preserve"> </w:t>
      </w:r>
      <w:r>
        <w:t>público,</w:t>
      </w:r>
      <w:r>
        <w:rPr>
          <w:spacing w:val="-3"/>
        </w:rPr>
        <w:t xml:space="preserve"> </w:t>
      </w:r>
      <w:r>
        <w:t>como</w:t>
      </w:r>
      <w:r>
        <w:rPr>
          <w:spacing w:val="-4"/>
        </w:rPr>
        <w:t xml:space="preserve"> </w:t>
      </w:r>
      <w:r>
        <w:t>tampoco</w:t>
      </w:r>
      <w:r>
        <w:rPr>
          <w:spacing w:val="-4"/>
        </w:rPr>
        <w:t xml:space="preserve"> </w:t>
      </w:r>
      <w:r>
        <w:t>en</w:t>
      </w:r>
      <w:r>
        <w:rPr>
          <w:spacing w:val="-2"/>
        </w:rPr>
        <w:t xml:space="preserve"> </w:t>
      </w:r>
      <w:r>
        <w:t>las</w:t>
      </w:r>
      <w:r>
        <w:rPr>
          <w:spacing w:val="-3"/>
        </w:rPr>
        <w:t xml:space="preserve"> </w:t>
      </w:r>
      <w:r>
        <w:t>resoluciones</w:t>
      </w:r>
      <w:r>
        <w:rPr>
          <w:spacing w:val="-3"/>
        </w:rPr>
        <w:t xml:space="preserve"> </w:t>
      </w:r>
      <w:r>
        <w:t>impugnadas,</w:t>
      </w:r>
      <w:r>
        <w:rPr>
          <w:spacing w:val="-1"/>
        </w:rPr>
        <w:t xml:space="preserve"> </w:t>
      </w:r>
      <w:r>
        <w:t>la</w:t>
      </w:r>
      <w:r>
        <w:rPr>
          <w:spacing w:val="-6"/>
        </w:rPr>
        <w:t xml:space="preserve"> </w:t>
      </w:r>
      <w:r>
        <w:t>concurrencia de un error manifiesto o una arbitrariedad que permita calificar estas actuaciones como injustificadamente erróneas. Por el contrario, dichas actuaciones se apoyaron en antecedentes que las justifican, estuvieron debidamente motivadas y fueron dictadas en cumplimiento de los estándares procesales vigentes, atendiendo al mérito de los antecedentes aportados y con el propósito de cautelar los fines legítimos de un procedimiento penal. Agre</w:t>
      </w:r>
      <w:r>
        <w:t xml:space="preserve">ga que el persecutor contaba para su imputación con declaraciones de </w:t>
      </w:r>
      <w:proofErr w:type="gramStart"/>
      <w:r>
        <w:t>testigos presenciales</w:t>
      </w:r>
      <w:proofErr w:type="gramEnd"/>
      <w:r>
        <w:t>, con un informe de</w:t>
      </w:r>
    </w:p>
    <w:p w14:paraId="0512D9CC" w14:textId="77777777" w:rsidR="00DA6B70" w:rsidRDefault="00DA6B70">
      <w:pPr>
        <w:pStyle w:val="Textoindependiente"/>
        <w:spacing w:line="480" w:lineRule="auto"/>
        <w:jc w:val="both"/>
        <w:sectPr w:rsidR="00DA6B70">
          <w:pgSz w:w="12240" w:h="15840"/>
          <w:pgMar w:top="1340" w:right="0" w:bottom="960" w:left="1440" w:header="0" w:footer="760" w:gutter="0"/>
          <w:cols w:space="720"/>
        </w:sectPr>
      </w:pPr>
    </w:p>
    <w:p w14:paraId="3F3A115F" w14:textId="77777777" w:rsidR="00DA6B70" w:rsidRDefault="0026203F">
      <w:pPr>
        <w:pStyle w:val="Textoindependiente"/>
        <w:spacing w:before="77" w:line="480" w:lineRule="auto"/>
        <w:ind w:left="264" w:right="1714"/>
        <w:jc w:val="both"/>
      </w:pPr>
      <w:r>
        <w:lastRenderedPageBreak/>
        <w:t>autopsia</w:t>
      </w:r>
      <w:r>
        <w:rPr>
          <w:spacing w:val="-3"/>
        </w:rPr>
        <w:t xml:space="preserve"> </w:t>
      </w:r>
      <w:r>
        <w:t>y</w:t>
      </w:r>
      <w:r>
        <w:rPr>
          <w:spacing w:val="-3"/>
        </w:rPr>
        <w:t xml:space="preserve"> </w:t>
      </w:r>
      <w:r>
        <w:t>con</w:t>
      </w:r>
      <w:r>
        <w:rPr>
          <w:spacing w:val="-1"/>
        </w:rPr>
        <w:t xml:space="preserve"> </w:t>
      </w:r>
      <w:r>
        <w:t>informes</w:t>
      </w:r>
      <w:r>
        <w:rPr>
          <w:spacing w:val="-2"/>
        </w:rPr>
        <w:t xml:space="preserve"> </w:t>
      </w:r>
      <w:r>
        <w:t>periciales</w:t>
      </w:r>
      <w:r>
        <w:rPr>
          <w:spacing w:val="-2"/>
        </w:rPr>
        <w:t xml:space="preserve"> </w:t>
      </w:r>
      <w:r>
        <w:t>relativos</w:t>
      </w:r>
      <w:r>
        <w:rPr>
          <w:spacing w:val="-2"/>
        </w:rPr>
        <w:t xml:space="preserve"> </w:t>
      </w:r>
      <w:r>
        <w:t>a</w:t>
      </w:r>
      <w:r>
        <w:rPr>
          <w:spacing w:val="-3"/>
        </w:rPr>
        <w:t xml:space="preserve"> </w:t>
      </w:r>
      <w:r>
        <w:t>los</w:t>
      </w:r>
      <w:r>
        <w:rPr>
          <w:spacing w:val="-3"/>
        </w:rPr>
        <w:t xml:space="preserve"> </w:t>
      </w:r>
      <w:r>
        <w:t>impactos</w:t>
      </w:r>
      <w:r>
        <w:rPr>
          <w:spacing w:val="-2"/>
        </w:rPr>
        <w:t xml:space="preserve"> </w:t>
      </w:r>
      <w:r>
        <w:t>de</w:t>
      </w:r>
      <w:r>
        <w:rPr>
          <w:spacing w:val="-3"/>
        </w:rPr>
        <w:t xml:space="preserve"> </w:t>
      </w:r>
      <w:r>
        <w:t>bala</w:t>
      </w:r>
      <w:r>
        <w:rPr>
          <w:spacing w:val="-3"/>
        </w:rPr>
        <w:t xml:space="preserve"> </w:t>
      </w:r>
      <w:r>
        <w:t>en</w:t>
      </w:r>
      <w:r>
        <w:rPr>
          <w:spacing w:val="-1"/>
        </w:rPr>
        <w:t xml:space="preserve"> </w:t>
      </w:r>
      <w:r>
        <w:t>el</w:t>
      </w:r>
      <w:r>
        <w:rPr>
          <w:spacing w:val="-1"/>
        </w:rPr>
        <w:t xml:space="preserve"> </w:t>
      </w:r>
      <w:r>
        <w:t>occiso,</w:t>
      </w:r>
      <w:r>
        <w:rPr>
          <w:spacing w:val="-2"/>
        </w:rPr>
        <w:t xml:space="preserve"> </w:t>
      </w:r>
      <w:r>
        <w:t>los que llevaron a considerar plausible y fundada, en forma preliminar, la tesis que levantó en su acusación.</w:t>
      </w:r>
    </w:p>
    <w:p w14:paraId="31B92E13" w14:textId="77777777" w:rsidR="00DA6B70" w:rsidRDefault="0026203F">
      <w:pPr>
        <w:pStyle w:val="Textoindependiente"/>
        <w:spacing w:line="480" w:lineRule="auto"/>
        <w:ind w:left="264" w:right="1711" w:firstLine="708"/>
        <w:jc w:val="both"/>
      </w:pPr>
      <w:r>
        <w:t>Por otra parte, menciona que sólo con ocasión de la prueba rendida y la valoración que los jueces del grado efectuaron en el juicio oral se estimó concurrente la hipótesis de la defensa, debiendo hacerse cargo el tribunal de las conclusiones</w:t>
      </w:r>
      <w:r>
        <w:rPr>
          <w:spacing w:val="40"/>
        </w:rPr>
        <w:t xml:space="preserve"> </w:t>
      </w:r>
      <w:r>
        <w:t>de los peritajes, lo que es un indicador claro de que la tesis acusatoria no resultaba antojadiza ni carente de fundamentos y razonabilidad.</w:t>
      </w:r>
    </w:p>
    <w:p w14:paraId="28294A19" w14:textId="77777777" w:rsidR="00DA6B70" w:rsidRDefault="0026203F">
      <w:pPr>
        <w:pStyle w:val="Textoindependiente"/>
        <w:spacing w:line="480" w:lineRule="auto"/>
        <w:ind w:left="264" w:right="1713" w:firstLine="708"/>
        <w:jc w:val="both"/>
      </w:pPr>
      <w:r>
        <w:t>A mayor abundamiento, señala que el resultado de haber dado muerte a una persona justifica el interés del ministerio público en investigar los hechos y concluye su informe señalando que, en su opinión, resulta procedente el rechazo de la acción intentada, dado que no se reúnen los requisitos que establece la Constitución, referidos fundamentalmente a la existencia de una persecución penal. injustificadamente errónea o arbitraria.</w:t>
      </w:r>
    </w:p>
    <w:p w14:paraId="530C6797" w14:textId="77777777" w:rsidR="00DA6B70" w:rsidRDefault="0026203F">
      <w:pPr>
        <w:pStyle w:val="Textoindependiente"/>
        <w:spacing w:line="480" w:lineRule="auto"/>
        <w:ind w:left="264" w:right="1705" w:firstLine="708"/>
        <w:jc w:val="both"/>
      </w:pPr>
      <w:r>
        <w:rPr>
          <w:rFonts w:ascii="Arial" w:hAnsi="Arial"/>
          <w:b/>
        </w:rPr>
        <w:t xml:space="preserve">Quinto: </w:t>
      </w:r>
      <w:proofErr w:type="gramStart"/>
      <w:r>
        <w:t>Que</w:t>
      </w:r>
      <w:proofErr w:type="gramEnd"/>
      <w:r>
        <w:t xml:space="preserve"> respecto de la alegación de extemporaneidad argumentada por el Consejo de Defensa del Estado para el rechazo de la acción, debe tenerse en consideración lo establecido por el Auto Acordado que Reglamenta el procedimiento para obtener la declaración previa al ejercicio de la acción indemnizatoria que concede la letra i) del N°7 del artículo 19 de la Constitución Política de la República, de fecha 10 de abril de 1996. Dicha norma, establece en su</w:t>
      </w:r>
      <w:r>
        <w:rPr>
          <w:spacing w:val="-2"/>
        </w:rPr>
        <w:t xml:space="preserve"> </w:t>
      </w:r>
      <w:r>
        <w:t>artículo</w:t>
      </w:r>
      <w:r>
        <w:rPr>
          <w:spacing w:val="-2"/>
        </w:rPr>
        <w:t xml:space="preserve"> </w:t>
      </w:r>
      <w:r>
        <w:t>1,</w:t>
      </w:r>
      <w:r>
        <w:rPr>
          <w:spacing w:val="-1"/>
        </w:rPr>
        <w:t xml:space="preserve"> </w:t>
      </w:r>
      <w:r>
        <w:t>que</w:t>
      </w:r>
      <w:r>
        <w:rPr>
          <w:spacing w:val="-2"/>
        </w:rPr>
        <w:t xml:space="preserve"> </w:t>
      </w:r>
      <w:r>
        <w:t>la</w:t>
      </w:r>
      <w:r>
        <w:rPr>
          <w:spacing w:val="-4"/>
        </w:rPr>
        <w:t xml:space="preserve"> </w:t>
      </w:r>
      <w:r>
        <w:t>solicitud</w:t>
      </w:r>
      <w:r>
        <w:rPr>
          <w:spacing w:val="-2"/>
        </w:rPr>
        <w:t xml:space="preserve"> </w:t>
      </w:r>
      <w:r>
        <w:t>se</w:t>
      </w:r>
      <w:r>
        <w:rPr>
          <w:spacing w:val="-2"/>
        </w:rPr>
        <w:t xml:space="preserve"> </w:t>
      </w:r>
      <w:r>
        <w:t>presentará</w:t>
      </w:r>
      <w:r>
        <w:rPr>
          <w:spacing w:val="-4"/>
        </w:rPr>
        <w:t xml:space="preserve"> </w:t>
      </w:r>
      <w:r>
        <w:t>ante</w:t>
      </w:r>
      <w:r>
        <w:rPr>
          <w:spacing w:val="-2"/>
        </w:rPr>
        <w:t xml:space="preserve"> </w:t>
      </w:r>
      <w:r>
        <w:t>la</w:t>
      </w:r>
      <w:r>
        <w:rPr>
          <w:spacing w:val="-4"/>
        </w:rPr>
        <w:t xml:space="preserve"> </w:t>
      </w:r>
      <w:r>
        <w:t>Corte</w:t>
      </w:r>
      <w:r>
        <w:rPr>
          <w:spacing w:val="-2"/>
        </w:rPr>
        <w:t xml:space="preserve"> </w:t>
      </w:r>
      <w:r>
        <w:t>Su</w:t>
      </w:r>
      <w:r>
        <w:t>prema</w:t>
      </w:r>
      <w:r>
        <w:rPr>
          <w:spacing w:val="-4"/>
        </w:rPr>
        <w:t xml:space="preserve"> </w:t>
      </w:r>
      <w:r>
        <w:t>dentro</w:t>
      </w:r>
      <w:r>
        <w:rPr>
          <w:spacing w:val="-4"/>
        </w:rPr>
        <w:t xml:space="preserve"> </w:t>
      </w:r>
      <w:r>
        <w:t>del</w:t>
      </w:r>
      <w:r>
        <w:rPr>
          <w:spacing w:val="-2"/>
        </w:rPr>
        <w:t xml:space="preserve"> </w:t>
      </w:r>
      <w:r>
        <w:t>plazo de seis meses, contados desde que quede ejecutoriada la sentencia absolutoria o el auto de sobreseimiento, dictados en la causa.</w:t>
      </w:r>
    </w:p>
    <w:p w14:paraId="1DEEE2C6" w14:textId="77777777" w:rsidR="00DA6B70" w:rsidRDefault="00DA6B70">
      <w:pPr>
        <w:pStyle w:val="Textoindependiente"/>
        <w:spacing w:line="480" w:lineRule="auto"/>
        <w:jc w:val="both"/>
        <w:sectPr w:rsidR="00DA6B70">
          <w:pgSz w:w="12240" w:h="15840"/>
          <w:pgMar w:top="1340" w:right="0" w:bottom="960" w:left="1440" w:header="0" w:footer="760" w:gutter="0"/>
          <w:cols w:space="720"/>
        </w:sectPr>
      </w:pPr>
    </w:p>
    <w:p w14:paraId="707E9461" w14:textId="77777777" w:rsidR="00DA6B70" w:rsidRDefault="0026203F">
      <w:pPr>
        <w:pStyle w:val="Textoindependiente"/>
        <w:spacing w:before="77" w:line="480" w:lineRule="auto"/>
        <w:ind w:left="264" w:right="1707" w:firstLine="708"/>
        <w:jc w:val="both"/>
      </w:pPr>
      <w:r>
        <w:lastRenderedPageBreak/>
        <w:t>Según consta de los antecedentes y de lo que han reconocido las partes ante estrados, la sentencia absolutoria en la que se funda la presente acción quedó ejecutoriada con fecha 28 de agosto del año 2024, mientras que la acción fue interpuesta con fecha 22 de febrero del año 2025, de modo que no transcurrió el plazo de seis meses que establece la norma citada.</w:t>
      </w:r>
    </w:p>
    <w:p w14:paraId="430F2DE5" w14:textId="77777777" w:rsidR="00DA6B70" w:rsidRDefault="0026203F">
      <w:pPr>
        <w:pStyle w:val="Textoindependiente"/>
        <w:spacing w:line="480" w:lineRule="auto"/>
        <w:ind w:left="264" w:right="1707" w:firstLine="708"/>
        <w:jc w:val="both"/>
      </w:pPr>
      <w:r>
        <w:t>Por otra parte, es necesario considerar que la acción interpuesta tiene una regulación constitucional, en base a lo cual se ha establecido, a través del citado Auto Acordado, un plazo para su interposición. Dicho plazo es bastante breve, considerando los términos de las acciones indemnizatorias comunes, de modo</w:t>
      </w:r>
      <w:r>
        <w:rPr>
          <w:spacing w:val="40"/>
        </w:rPr>
        <w:t xml:space="preserve"> </w:t>
      </w:r>
      <w:r>
        <w:t>que no puede considerarse que además de requerir la interposición de la acción dentro</w:t>
      </w:r>
      <w:r>
        <w:rPr>
          <w:spacing w:val="-5"/>
        </w:rPr>
        <w:t xml:space="preserve"> </w:t>
      </w:r>
      <w:r>
        <w:t>del</w:t>
      </w:r>
      <w:r>
        <w:rPr>
          <w:spacing w:val="-3"/>
        </w:rPr>
        <w:t xml:space="preserve"> </w:t>
      </w:r>
      <w:r>
        <w:t>mismo,</w:t>
      </w:r>
      <w:r>
        <w:rPr>
          <w:spacing w:val="-4"/>
        </w:rPr>
        <w:t xml:space="preserve"> </w:t>
      </w:r>
      <w:r>
        <w:t>aquella</w:t>
      </w:r>
      <w:r>
        <w:rPr>
          <w:spacing w:val="-5"/>
        </w:rPr>
        <w:t xml:space="preserve"> </w:t>
      </w:r>
      <w:r>
        <w:t>sea</w:t>
      </w:r>
      <w:r>
        <w:rPr>
          <w:spacing w:val="-5"/>
        </w:rPr>
        <w:t xml:space="preserve"> </w:t>
      </w:r>
      <w:r>
        <w:t>notificada,</w:t>
      </w:r>
      <w:r>
        <w:rPr>
          <w:spacing w:val="-2"/>
        </w:rPr>
        <w:t xml:space="preserve"> </w:t>
      </w:r>
      <w:r>
        <w:t>pues</w:t>
      </w:r>
      <w:r>
        <w:rPr>
          <w:spacing w:val="-3"/>
        </w:rPr>
        <w:t xml:space="preserve"> </w:t>
      </w:r>
      <w:r>
        <w:t>no</w:t>
      </w:r>
      <w:r>
        <w:rPr>
          <w:spacing w:val="-5"/>
        </w:rPr>
        <w:t xml:space="preserve"> </w:t>
      </w:r>
      <w:r>
        <w:t>es</w:t>
      </w:r>
      <w:r>
        <w:rPr>
          <w:spacing w:val="-3"/>
        </w:rPr>
        <w:t xml:space="preserve"> </w:t>
      </w:r>
      <w:r>
        <w:t>esa</w:t>
      </w:r>
      <w:r>
        <w:rPr>
          <w:spacing w:val="-5"/>
        </w:rPr>
        <w:t xml:space="preserve"> </w:t>
      </w:r>
      <w:r>
        <w:t>la</w:t>
      </w:r>
      <w:r>
        <w:rPr>
          <w:spacing w:val="-5"/>
        </w:rPr>
        <w:t xml:space="preserve"> </w:t>
      </w:r>
      <w:r>
        <w:t>exigencia</w:t>
      </w:r>
      <w:r>
        <w:rPr>
          <w:spacing w:val="-5"/>
        </w:rPr>
        <w:t xml:space="preserve"> </w:t>
      </w:r>
      <w:r>
        <w:t>contenida</w:t>
      </w:r>
      <w:r>
        <w:rPr>
          <w:spacing w:val="-5"/>
        </w:rPr>
        <w:t xml:space="preserve"> </w:t>
      </w:r>
      <w:r>
        <w:t>en la norma que regula la materia.</w:t>
      </w:r>
    </w:p>
    <w:p w14:paraId="38609052" w14:textId="77777777" w:rsidR="00DA6B70" w:rsidRDefault="0026203F">
      <w:pPr>
        <w:pStyle w:val="Textoindependiente"/>
        <w:spacing w:line="480" w:lineRule="auto"/>
        <w:ind w:left="264" w:right="1706" w:firstLine="708"/>
        <w:jc w:val="both"/>
      </w:pPr>
      <w:r>
        <w:rPr>
          <w:rFonts w:ascii="Arial" w:hAnsi="Arial"/>
          <w:b/>
        </w:rPr>
        <w:t xml:space="preserve">Sexto: </w:t>
      </w:r>
      <w:proofErr w:type="gramStart"/>
      <w:r>
        <w:t>Que</w:t>
      </w:r>
      <w:proofErr w:type="gramEnd"/>
      <w:r>
        <w:t xml:space="preserve"> en cuanto al fondo del asunto, el artículo 19, N°7, letra i) de la Constitución Política de la República confiere el derecho a reclamar del Estado la indemnización de los perjuicios sufridos como consecuencia del sometimiento a proceso o condena injustificadamente erróneos o arbitrarios. Es necesario entonces que se denuncien actuaciones desprovistas de elementos de convicción que</w:t>
      </w:r>
      <w:r>
        <w:rPr>
          <w:spacing w:val="-2"/>
        </w:rPr>
        <w:t xml:space="preserve"> </w:t>
      </w:r>
      <w:r>
        <w:t>habiliten</w:t>
      </w:r>
      <w:r>
        <w:rPr>
          <w:spacing w:val="-2"/>
        </w:rPr>
        <w:t xml:space="preserve"> </w:t>
      </w:r>
      <w:r>
        <w:t>su</w:t>
      </w:r>
      <w:r>
        <w:rPr>
          <w:spacing w:val="-2"/>
        </w:rPr>
        <w:t xml:space="preserve"> </w:t>
      </w:r>
      <w:r>
        <w:t>sustento</w:t>
      </w:r>
      <w:r>
        <w:rPr>
          <w:spacing w:val="-2"/>
        </w:rPr>
        <w:t xml:space="preserve"> </w:t>
      </w:r>
      <w:r>
        <w:t>racional</w:t>
      </w:r>
      <w:r>
        <w:rPr>
          <w:spacing w:val="-2"/>
        </w:rPr>
        <w:t xml:space="preserve"> </w:t>
      </w:r>
      <w:r>
        <w:t>o</w:t>
      </w:r>
      <w:r>
        <w:rPr>
          <w:spacing w:val="-2"/>
        </w:rPr>
        <w:t xml:space="preserve"> </w:t>
      </w:r>
      <w:r>
        <w:t>que</w:t>
      </w:r>
      <w:r>
        <w:rPr>
          <w:spacing w:val="-2"/>
        </w:rPr>
        <w:t xml:space="preserve"> </w:t>
      </w:r>
      <w:r>
        <w:t>fueron expedidas</w:t>
      </w:r>
      <w:r>
        <w:rPr>
          <w:spacing w:val="-1"/>
        </w:rPr>
        <w:t xml:space="preserve"> </w:t>
      </w:r>
      <w:r>
        <w:t>por</w:t>
      </w:r>
      <w:r>
        <w:rPr>
          <w:spacing w:val="-3"/>
        </w:rPr>
        <w:t xml:space="preserve"> </w:t>
      </w:r>
      <w:r>
        <w:t>voluntad</w:t>
      </w:r>
      <w:r>
        <w:rPr>
          <w:spacing w:val="-2"/>
        </w:rPr>
        <w:t xml:space="preserve"> </w:t>
      </w:r>
      <w:r>
        <w:t>meramente potestativa, caprichosa o insensata.</w:t>
      </w:r>
    </w:p>
    <w:p w14:paraId="6B8D635E" w14:textId="77777777" w:rsidR="00DA6B70" w:rsidRDefault="0026203F">
      <w:pPr>
        <w:pStyle w:val="Textoindependiente"/>
        <w:spacing w:line="480" w:lineRule="auto"/>
        <w:ind w:left="264" w:right="1711" w:firstLine="708"/>
        <w:jc w:val="both"/>
      </w:pPr>
      <w:r>
        <w:rPr>
          <w:rFonts w:ascii="Arial" w:hAnsi="Arial"/>
          <w:b/>
        </w:rPr>
        <w:t xml:space="preserve">Séptimo: </w:t>
      </w:r>
      <w:r>
        <w:t xml:space="preserve">Que la procedencia de la acción </w:t>
      </w:r>
      <w:proofErr w:type="gramStart"/>
      <w:r>
        <w:t>otorgada,</w:t>
      </w:r>
      <w:proofErr w:type="gramEnd"/>
      <w:r>
        <w:t xml:space="preserve"> está sujeta al cumplimiento de requisitos claramente delimitados por el constituyente, a saber:</w:t>
      </w:r>
    </w:p>
    <w:p w14:paraId="2A29F53A" w14:textId="77777777" w:rsidR="00DA6B70" w:rsidRDefault="0026203F">
      <w:pPr>
        <w:pStyle w:val="Prrafodelista"/>
        <w:numPr>
          <w:ilvl w:val="0"/>
          <w:numId w:val="1"/>
        </w:numPr>
        <w:tabs>
          <w:tab w:val="left" w:pos="971"/>
        </w:tabs>
        <w:spacing w:before="1" w:line="480" w:lineRule="auto"/>
        <w:ind w:right="1716" w:firstLine="0"/>
        <w:jc w:val="both"/>
        <w:rPr>
          <w:sz w:val="24"/>
        </w:rPr>
      </w:pPr>
      <w:r>
        <w:rPr>
          <w:sz w:val="24"/>
        </w:rPr>
        <w:t>Que la resolución que sometió a proceso o condenó al requirente sea injustificadamente errónea, o;</w:t>
      </w:r>
    </w:p>
    <w:p w14:paraId="26B17116" w14:textId="77777777" w:rsidR="00DA6B70" w:rsidRDefault="0026203F">
      <w:pPr>
        <w:pStyle w:val="Prrafodelista"/>
        <w:numPr>
          <w:ilvl w:val="0"/>
          <w:numId w:val="1"/>
        </w:numPr>
        <w:tabs>
          <w:tab w:val="left" w:pos="971"/>
        </w:tabs>
        <w:ind w:left="971" w:hanging="707"/>
        <w:jc w:val="both"/>
        <w:rPr>
          <w:sz w:val="24"/>
        </w:rPr>
      </w:pPr>
      <w:r>
        <w:rPr>
          <w:sz w:val="24"/>
        </w:rPr>
        <w:t>Que</w:t>
      </w:r>
      <w:r>
        <w:rPr>
          <w:spacing w:val="-5"/>
          <w:sz w:val="24"/>
        </w:rPr>
        <w:t xml:space="preserve"> </w:t>
      </w:r>
      <w:r>
        <w:rPr>
          <w:sz w:val="24"/>
        </w:rPr>
        <w:t>dicha</w:t>
      </w:r>
      <w:r>
        <w:rPr>
          <w:spacing w:val="-4"/>
          <w:sz w:val="24"/>
        </w:rPr>
        <w:t xml:space="preserve"> </w:t>
      </w:r>
      <w:r>
        <w:rPr>
          <w:sz w:val="24"/>
        </w:rPr>
        <w:t>resolución</w:t>
      </w:r>
      <w:r>
        <w:rPr>
          <w:spacing w:val="-3"/>
          <w:sz w:val="24"/>
        </w:rPr>
        <w:t xml:space="preserve"> </w:t>
      </w:r>
      <w:r>
        <w:rPr>
          <w:sz w:val="24"/>
        </w:rPr>
        <w:t>sea</w:t>
      </w:r>
      <w:r>
        <w:rPr>
          <w:spacing w:val="-4"/>
          <w:sz w:val="24"/>
        </w:rPr>
        <w:t xml:space="preserve"> </w:t>
      </w:r>
      <w:r>
        <w:rPr>
          <w:spacing w:val="-2"/>
          <w:sz w:val="24"/>
        </w:rPr>
        <w:t>arbitraria.</w:t>
      </w:r>
    </w:p>
    <w:p w14:paraId="004C299F" w14:textId="77777777" w:rsidR="00DA6B70" w:rsidRDefault="00DA6B70">
      <w:pPr>
        <w:pStyle w:val="Prrafodelista"/>
        <w:rPr>
          <w:sz w:val="24"/>
        </w:rPr>
        <w:sectPr w:rsidR="00DA6B70">
          <w:pgSz w:w="12240" w:h="15840"/>
          <w:pgMar w:top="1340" w:right="0" w:bottom="960" w:left="1440" w:header="0" w:footer="760" w:gutter="0"/>
          <w:cols w:space="720"/>
        </w:sectPr>
      </w:pPr>
    </w:p>
    <w:p w14:paraId="04E556F6" w14:textId="77777777" w:rsidR="00DA6B70" w:rsidRDefault="0026203F">
      <w:pPr>
        <w:pStyle w:val="Textoindependiente"/>
        <w:spacing w:before="77" w:line="480" w:lineRule="auto"/>
        <w:ind w:left="264" w:right="1711" w:firstLine="708"/>
        <w:jc w:val="both"/>
      </w:pPr>
      <w:r>
        <w:lastRenderedPageBreak/>
        <w:t>En la especie, y</w:t>
      </w:r>
      <w:r>
        <w:rPr>
          <w:spacing w:val="-2"/>
        </w:rPr>
        <w:t xml:space="preserve"> </w:t>
      </w:r>
      <w:r>
        <w:t>dado</w:t>
      </w:r>
      <w:r>
        <w:rPr>
          <w:spacing w:val="-1"/>
        </w:rPr>
        <w:t xml:space="preserve"> </w:t>
      </w:r>
      <w:r>
        <w:t>que</w:t>
      </w:r>
      <w:r>
        <w:rPr>
          <w:spacing w:val="-1"/>
        </w:rPr>
        <w:t xml:space="preserve"> </w:t>
      </w:r>
      <w:r>
        <w:t>los hechos materia</w:t>
      </w:r>
      <w:r>
        <w:rPr>
          <w:spacing w:val="-1"/>
        </w:rPr>
        <w:t xml:space="preserve"> </w:t>
      </w:r>
      <w:r>
        <w:t>del enjuiciamiento</w:t>
      </w:r>
      <w:r>
        <w:rPr>
          <w:spacing w:val="-1"/>
        </w:rPr>
        <w:t xml:space="preserve"> </w:t>
      </w:r>
      <w:r>
        <w:t>acaecieron bajo</w:t>
      </w:r>
      <w:r>
        <w:rPr>
          <w:spacing w:val="-5"/>
        </w:rPr>
        <w:t xml:space="preserve"> </w:t>
      </w:r>
      <w:r>
        <w:t>la</w:t>
      </w:r>
      <w:r>
        <w:rPr>
          <w:spacing w:val="-3"/>
        </w:rPr>
        <w:t xml:space="preserve"> </w:t>
      </w:r>
      <w:r>
        <w:t>vigencia</w:t>
      </w:r>
      <w:r>
        <w:rPr>
          <w:spacing w:val="-5"/>
        </w:rPr>
        <w:t xml:space="preserve"> </w:t>
      </w:r>
      <w:r>
        <w:t>del</w:t>
      </w:r>
      <w:r>
        <w:rPr>
          <w:spacing w:val="-3"/>
        </w:rPr>
        <w:t xml:space="preserve"> </w:t>
      </w:r>
      <w:r>
        <w:t>Código</w:t>
      </w:r>
      <w:r>
        <w:rPr>
          <w:spacing w:val="-5"/>
        </w:rPr>
        <w:t xml:space="preserve"> </w:t>
      </w:r>
      <w:r>
        <w:t>Procesal</w:t>
      </w:r>
      <w:r>
        <w:rPr>
          <w:spacing w:val="-3"/>
        </w:rPr>
        <w:t xml:space="preserve"> </w:t>
      </w:r>
      <w:r>
        <w:t>Penal,</w:t>
      </w:r>
      <w:r>
        <w:rPr>
          <w:spacing w:val="-2"/>
        </w:rPr>
        <w:t xml:space="preserve"> </w:t>
      </w:r>
      <w:r>
        <w:t>la</w:t>
      </w:r>
      <w:r>
        <w:rPr>
          <w:spacing w:val="-5"/>
        </w:rPr>
        <w:t xml:space="preserve"> </w:t>
      </w:r>
      <w:r>
        <w:t>cuestión</w:t>
      </w:r>
      <w:r>
        <w:rPr>
          <w:spacing w:val="-3"/>
        </w:rPr>
        <w:t xml:space="preserve"> </w:t>
      </w:r>
      <w:r>
        <w:t>a</w:t>
      </w:r>
      <w:r>
        <w:rPr>
          <w:spacing w:val="-3"/>
        </w:rPr>
        <w:t xml:space="preserve"> </w:t>
      </w:r>
      <w:r>
        <w:t>decidir</w:t>
      </w:r>
      <w:r>
        <w:rPr>
          <w:spacing w:val="-3"/>
        </w:rPr>
        <w:t xml:space="preserve"> </w:t>
      </w:r>
      <w:r>
        <w:t>queda</w:t>
      </w:r>
      <w:r>
        <w:rPr>
          <w:spacing w:val="-3"/>
        </w:rPr>
        <w:t xml:space="preserve"> </w:t>
      </w:r>
      <w:r>
        <w:t>circunscrita a la determinación de si la resolución que dispuso la prisión preventiva, merece o no ser calificada de injustificadamente errónea o arbitraria, y para arribar a una conclusión fundada, es menester analizar si aquella se dictó sin existir elementos que permitieran fundarla racionalmente, expidiéndose por voluntad meramente potestativa, caprichosa o irreflexivamente.</w:t>
      </w:r>
    </w:p>
    <w:p w14:paraId="6D45D68F" w14:textId="77777777" w:rsidR="00DA6B70" w:rsidRDefault="0026203F">
      <w:pPr>
        <w:pStyle w:val="Textoindependiente"/>
        <w:spacing w:line="480" w:lineRule="auto"/>
        <w:ind w:left="264" w:right="1707" w:firstLine="708"/>
        <w:jc w:val="both"/>
      </w:pPr>
      <w:r>
        <w:rPr>
          <w:rFonts w:ascii="Arial" w:hAnsi="Arial"/>
          <w:b/>
        </w:rPr>
        <w:t xml:space="preserve">Octavo: </w:t>
      </w:r>
      <w:r>
        <w:t>Que la jurisprudencia de esta Corte ha precisado en numerosos pronunciamientos</w:t>
      </w:r>
      <w:r>
        <w:rPr>
          <w:spacing w:val="-2"/>
        </w:rPr>
        <w:t xml:space="preserve"> </w:t>
      </w:r>
      <w:r>
        <w:t>el</w:t>
      </w:r>
      <w:r>
        <w:rPr>
          <w:spacing w:val="-1"/>
        </w:rPr>
        <w:t xml:space="preserve"> </w:t>
      </w:r>
      <w:r>
        <w:t>sentido</w:t>
      </w:r>
      <w:r>
        <w:rPr>
          <w:spacing w:val="-3"/>
        </w:rPr>
        <w:t xml:space="preserve"> </w:t>
      </w:r>
      <w:r>
        <w:t>y</w:t>
      </w:r>
      <w:r>
        <w:rPr>
          <w:spacing w:val="-2"/>
        </w:rPr>
        <w:t xml:space="preserve"> </w:t>
      </w:r>
      <w:r>
        <w:t>alcance</w:t>
      </w:r>
      <w:r>
        <w:rPr>
          <w:spacing w:val="-1"/>
        </w:rPr>
        <w:t xml:space="preserve"> </w:t>
      </w:r>
      <w:r>
        <w:t>de</w:t>
      </w:r>
      <w:r>
        <w:rPr>
          <w:spacing w:val="-3"/>
        </w:rPr>
        <w:t xml:space="preserve"> </w:t>
      </w:r>
      <w:r>
        <w:t>los</w:t>
      </w:r>
      <w:r>
        <w:rPr>
          <w:spacing w:val="-2"/>
        </w:rPr>
        <w:t xml:space="preserve"> </w:t>
      </w:r>
      <w:r>
        <w:t>términos</w:t>
      </w:r>
      <w:r>
        <w:rPr>
          <w:spacing w:val="-2"/>
        </w:rPr>
        <w:t xml:space="preserve"> </w:t>
      </w:r>
      <w:r>
        <w:t>“injustificadamente</w:t>
      </w:r>
      <w:r>
        <w:rPr>
          <w:spacing w:val="-1"/>
        </w:rPr>
        <w:t xml:space="preserve"> </w:t>
      </w:r>
      <w:r>
        <w:t>errónea” y “arbitraria”, calificativos que solo pueden aplicarse a una resolución judicial que contradice a la razón, que es inexcusable, que ha sido decretada de manera irregular, que carece de una explicación lógica, de motivación y racionalidad. Es decir, no puede erigirse como motivo suficiente y constitutivo de una actuación procesal injustificadamente errónea o arbitr</w:t>
      </w:r>
      <w:r>
        <w:t>aria la discrepancia con los juicios de valor allí emitidos.</w:t>
      </w:r>
    </w:p>
    <w:p w14:paraId="2B452732" w14:textId="77777777" w:rsidR="00DA6B70" w:rsidRDefault="0026203F">
      <w:pPr>
        <w:pStyle w:val="Textoindependiente"/>
        <w:spacing w:line="480" w:lineRule="auto"/>
        <w:ind w:left="264" w:right="1712" w:firstLine="708"/>
        <w:jc w:val="both"/>
      </w:pPr>
      <w:r>
        <w:t>Así lo ha sostenido esta Corte, entre otros, en los pronunciamientos roles N°44.998-2016 de 17 de noviembre de 2016; N°20.629-2019, de 15 de diciembre de</w:t>
      </w:r>
      <w:r>
        <w:rPr>
          <w:spacing w:val="16"/>
        </w:rPr>
        <w:t xml:space="preserve"> </w:t>
      </w:r>
      <w:r>
        <w:t>2020;</w:t>
      </w:r>
      <w:r>
        <w:rPr>
          <w:spacing w:val="20"/>
        </w:rPr>
        <w:t xml:space="preserve"> </w:t>
      </w:r>
      <w:r>
        <w:t>N°23.006-2019,</w:t>
      </w:r>
      <w:r>
        <w:rPr>
          <w:spacing w:val="22"/>
        </w:rPr>
        <w:t xml:space="preserve"> </w:t>
      </w:r>
      <w:r>
        <w:t>de</w:t>
      </w:r>
      <w:r>
        <w:rPr>
          <w:spacing w:val="17"/>
        </w:rPr>
        <w:t xml:space="preserve"> </w:t>
      </w:r>
      <w:r>
        <w:t>30</w:t>
      </w:r>
      <w:r>
        <w:rPr>
          <w:spacing w:val="21"/>
        </w:rPr>
        <w:t xml:space="preserve"> </w:t>
      </w:r>
      <w:r>
        <w:t>de</w:t>
      </w:r>
      <w:r>
        <w:rPr>
          <w:spacing w:val="19"/>
        </w:rPr>
        <w:t xml:space="preserve"> </w:t>
      </w:r>
      <w:r>
        <w:t>noviembre</w:t>
      </w:r>
      <w:r>
        <w:rPr>
          <w:spacing w:val="18"/>
        </w:rPr>
        <w:t xml:space="preserve"> </w:t>
      </w:r>
      <w:r>
        <w:t>de</w:t>
      </w:r>
      <w:r>
        <w:rPr>
          <w:spacing w:val="17"/>
        </w:rPr>
        <w:t xml:space="preserve"> </w:t>
      </w:r>
      <w:r>
        <w:t>2021;</w:t>
      </w:r>
      <w:r>
        <w:rPr>
          <w:spacing w:val="20"/>
        </w:rPr>
        <w:t xml:space="preserve"> </w:t>
      </w:r>
      <w:r>
        <w:t>N°16.897</w:t>
      </w:r>
      <w:r>
        <w:rPr>
          <w:spacing w:val="19"/>
        </w:rPr>
        <w:t xml:space="preserve"> </w:t>
      </w:r>
      <w:r>
        <w:t>2021</w:t>
      </w:r>
      <w:r>
        <w:rPr>
          <w:spacing w:val="19"/>
        </w:rPr>
        <w:t xml:space="preserve"> </w:t>
      </w:r>
      <w:r>
        <w:t>de</w:t>
      </w:r>
      <w:r>
        <w:rPr>
          <w:spacing w:val="19"/>
        </w:rPr>
        <w:t xml:space="preserve"> </w:t>
      </w:r>
      <w:r>
        <w:t>22</w:t>
      </w:r>
      <w:r>
        <w:rPr>
          <w:spacing w:val="21"/>
        </w:rPr>
        <w:t xml:space="preserve"> </w:t>
      </w:r>
      <w:r>
        <w:rPr>
          <w:spacing w:val="-5"/>
        </w:rPr>
        <w:t>de</w:t>
      </w:r>
    </w:p>
    <w:p w14:paraId="16FD646F" w14:textId="77777777" w:rsidR="00DA6B70" w:rsidRDefault="0026203F">
      <w:pPr>
        <w:pStyle w:val="Textoindependiente"/>
        <w:ind w:left="264"/>
        <w:jc w:val="both"/>
      </w:pPr>
      <w:r>
        <w:t>junio</w:t>
      </w:r>
      <w:r>
        <w:rPr>
          <w:spacing w:val="-5"/>
        </w:rPr>
        <w:t xml:space="preserve"> </w:t>
      </w:r>
      <w:r>
        <w:t>de</w:t>
      </w:r>
      <w:r>
        <w:rPr>
          <w:spacing w:val="-3"/>
        </w:rPr>
        <w:t xml:space="preserve"> </w:t>
      </w:r>
      <w:r>
        <w:rPr>
          <w:spacing w:val="-4"/>
        </w:rPr>
        <w:t>2023.</w:t>
      </w:r>
    </w:p>
    <w:p w14:paraId="1202C3CE" w14:textId="77777777" w:rsidR="00DA6B70" w:rsidRDefault="00DA6B70">
      <w:pPr>
        <w:pStyle w:val="Textoindependiente"/>
      </w:pPr>
    </w:p>
    <w:p w14:paraId="0F1E6246" w14:textId="77777777" w:rsidR="00DA6B70" w:rsidRDefault="0026203F">
      <w:pPr>
        <w:pStyle w:val="Textoindependiente"/>
        <w:spacing w:line="480" w:lineRule="auto"/>
        <w:ind w:left="264" w:right="1711" w:firstLine="708"/>
        <w:jc w:val="both"/>
      </w:pPr>
      <w:r>
        <w:rPr>
          <w:rFonts w:ascii="Arial" w:hAnsi="Arial"/>
          <w:b/>
        </w:rPr>
        <w:t xml:space="preserve">Noveno: </w:t>
      </w:r>
      <w:r>
        <w:t>Que en consideración a</w:t>
      </w:r>
      <w:r>
        <w:rPr>
          <w:spacing w:val="-2"/>
        </w:rPr>
        <w:t xml:space="preserve"> </w:t>
      </w:r>
      <w:r>
        <w:t>lo</w:t>
      </w:r>
      <w:r>
        <w:rPr>
          <w:spacing w:val="-2"/>
        </w:rPr>
        <w:t xml:space="preserve"> </w:t>
      </w:r>
      <w:r>
        <w:t>que</w:t>
      </w:r>
      <w:r>
        <w:rPr>
          <w:spacing w:val="-2"/>
        </w:rPr>
        <w:t xml:space="preserve"> </w:t>
      </w:r>
      <w:r>
        <w:t>debe</w:t>
      </w:r>
      <w:r>
        <w:rPr>
          <w:spacing w:val="-2"/>
        </w:rPr>
        <w:t xml:space="preserve"> </w:t>
      </w:r>
      <w:r>
        <w:t>resolverse, también conviene tener en vista las exigencias contempladas en el artículo 140 del Código Procesal Penal para disponer la prisión preventiva. A saber, que existan antecedentes que justificaren la existencia del delito que se investigare; que existan antecedentes que</w:t>
      </w:r>
      <w:r>
        <w:rPr>
          <w:spacing w:val="29"/>
        </w:rPr>
        <w:t xml:space="preserve"> </w:t>
      </w:r>
      <w:r>
        <w:t>permitieren</w:t>
      </w:r>
      <w:r>
        <w:rPr>
          <w:spacing w:val="33"/>
        </w:rPr>
        <w:t xml:space="preserve"> </w:t>
      </w:r>
      <w:r>
        <w:t>presumir</w:t>
      </w:r>
      <w:r>
        <w:rPr>
          <w:spacing w:val="31"/>
        </w:rPr>
        <w:t xml:space="preserve"> </w:t>
      </w:r>
      <w:r>
        <w:t>fundadamente</w:t>
      </w:r>
      <w:r>
        <w:rPr>
          <w:spacing w:val="31"/>
        </w:rPr>
        <w:t xml:space="preserve"> </w:t>
      </w:r>
      <w:r>
        <w:t>que</w:t>
      </w:r>
      <w:r>
        <w:rPr>
          <w:spacing w:val="29"/>
        </w:rPr>
        <w:t xml:space="preserve"> </w:t>
      </w:r>
      <w:r>
        <w:t>el</w:t>
      </w:r>
      <w:r>
        <w:rPr>
          <w:spacing w:val="33"/>
        </w:rPr>
        <w:t xml:space="preserve"> </w:t>
      </w:r>
      <w:r>
        <w:t>imputado</w:t>
      </w:r>
      <w:r>
        <w:rPr>
          <w:spacing w:val="31"/>
        </w:rPr>
        <w:t xml:space="preserve"> </w:t>
      </w:r>
      <w:r>
        <w:t>ha</w:t>
      </w:r>
      <w:r>
        <w:rPr>
          <w:spacing w:val="31"/>
        </w:rPr>
        <w:t xml:space="preserve"> </w:t>
      </w:r>
      <w:r>
        <w:t>tenido</w:t>
      </w:r>
      <w:r>
        <w:rPr>
          <w:spacing w:val="30"/>
        </w:rPr>
        <w:t xml:space="preserve"> </w:t>
      </w:r>
      <w:r>
        <w:rPr>
          <w:spacing w:val="-2"/>
        </w:rPr>
        <w:t>participación</w:t>
      </w:r>
    </w:p>
    <w:p w14:paraId="1BACBFE5" w14:textId="77777777" w:rsidR="00DA6B70" w:rsidRDefault="00DA6B70">
      <w:pPr>
        <w:pStyle w:val="Textoindependiente"/>
        <w:spacing w:line="480" w:lineRule="auto"/>
        <w:jc w:val="both"/>
        <w:sectPr w:rsidR="00DA6B70">
          <w:pgSz w:w="12240" w:h="15840"/>
          <w:pgMar w:top="1340" w:right="0" w:bottom="960" w:left="1440" w:header="0" w:footer="760" w:gutter="0"/>
          <w:cols w:space="720"/>
        </w:sectPr>
      </w:pPr>
    </w:p>
    <w:p w14:paraId="4D4A6AF7" w14:textId="77777777" w:rsidR="00DA6B70" w:rsidRDefault="0026203F">
      <w:pPr>
        <w:pStyle w:val="Textoindependiente"/>
        <w:spacing w:before="77" w:line="480" w:lineRule="auto"/>
        <w:ind w:left="264" w:right="1708"/>
        <w:jc w:val="both"/>
      </w:pPr>
      <w:r>
        <w:lastRenderedPageBreak/>
        <w:t>en el delito como autor, cómplice o encubridor; y que existan antecedentes calificados que permitieren al tribunal considerar que la prisión preventiva es indispensable para el éxito de diligencias precisas y determinadas de la investigación, que la libertad del imputado es peligrosa para la seguridad de la sociedad o del ofendido, o que existe peligro de que el imputado se dé a la fuga.</w:t>
      </w:r>
    </w:p>
    <w:p w14:paraId="3AF6571A" w14:textId="77777777" w:rsidR="00DA6B70" w:rsidRDefault="0026203F">
      <w:pPr>
        <w:pStyle w:val="Textoindependiente"/>
        <w:spacing w:line="480" w:lineRule="auto"/>
        <w:ind w:left="264" w:right="1709" w:firstLine="708"/>
        <w:jc w:val="both"/>
      </w:pPr>
      <w:r>
        <w:t>Al momento de dictar una sentencia definitiva, en cambio, los magistrados cuentan con todas las pruebas definitivas allegadas a la</w:t>
      </w:r>
      <w:r>
        <w:rPr>
          <w:spacing w:val="-1"/>
        </w:rPr>
        <w:t xml:space="preserve"> </w:t>
      </w:r>
      <w:r>
        <w:t>litis y, solo</w:t>
      </w:r>
      <w:r>
        <w:rPr>
          <w:spacing w:val="-1"/>
        </w:rPr>
        <w:t xml:space="preserve"> </w:t>
      </w:r>
      <w:r>
        <w:t>del examen de ellas deben adquirir ahora la plena convicción, más allá de toda duda razonable, de que realmente se hubiere cometido el hecho punible objeto de la acusación y que en él hubiere correspondido al acusado una participación culpable y penada por la ley.</w:t>
      </w:r>
    </w:p>
    <w:p w14:paraId="17786454" w14:textId="77777777" w:rsidR="00DA6B70" w:rsidRDefault="0026203F">
      <w:pPr>
        <w:pStyle w:val="Textoindependiente"/>
        <w:spacing w:line="480" w:lineRule="auto"/>
        <w:ind w:left="264" w:right="1710" w:firstLine="708"/>
        <w:jc w:val="both"/>
      </w:pPr>
      <w:r>
        <w:t>Por lo demás, es menester precisar que, el mero hecho de dictarse un sentencia absolutoria no transforma automáticamente a la resolución que dispuso la prisión preventiva en injustificadamente errónea o arbitraria, por cuanto, como se advierte, son momentos procesales diferentes que requieren de grados de convicción distintos, con procesos valorativos e interpretativos diversos y, por consiguiente, dichas fases, aun con conclusiones contrapuestas, pueden ser perfectamente válidas y jurídicamente correctas.</w:t>
      </w:r>
    </w:p>
    <w:p w14:paraId="00ADA2DE" w14:textId="77777777" w:rsidR="00DA6B70" w:rsidRDefault="0026203F">
      <w:pPr>
        <w:pStyle w:val="Textoindependiente"/>
        <w:spacing w:line="480" w:lineRule="auto"/>
        <w:ind w:left="264" w:right="1707" w:firstLine="708"/>
        <w:jc w:val="both"/>
      </w:pPr>
      <w:r>
        <w:rPr>
          <w:rFonts w:ascii="Arial" w:hAnsi="Arial"/>
          <w:b/>
        </w:rPr>
        <w:t xml:space="preserve">Décimo: </w:t>
      </w:r>
      <w:proofErr w:type="gramStart"/>
      <w:r>
        <w:t>Que</w:t>
      </w:r>
      <w:proofErr w:type="gramEnd"/>
      <w:r>
        <w:t xml:space="preserve"> hechas estas precisiones, puede sostenerse que la</w:t>
      </w:r>
      <w:r>
        <w:rPr>
          <w:spacing w:val="40"/>
        </w:rPr>
        <w:t xml:space="preserve"> </w:t>
      </w:r>
      <w:r>
        <w:t xml:space="preserve">resolución que atañe a estos antecedentes no participa de las características que se le atribuyen, de modo que no pueden servir de basamento a la declaración </w:t>
      </w:r>
      <w:r>
        <w:rPr>
          <w:spacing w:val="-2"/>
        </w:rPr>
        <w:t>impetrada.</w:t>
      </w:r>
    </w:p>
    <w:p w14:paraId="204DC28B" w14:textId="77777777" w:rsidR="00DA6B70" w:rsidRDefault="0026203F">
      <w:pPr>
        <w:pStyle w:val="Textoindependiente"/>
        <w:spacing w:before="1" w:line="480" w:lineRule="auto"/>
        <w:ind w:left="264" w:right="1712" w:firstLine="708"/>
        <w:jc w:val="both"/>
      </w:pPr>
      <w:r>
        <w:t>En efecto, los antecedentes probatorios invocados para justificarla fueron múltiples</w:t>
      </w:r>
      <w:r>
        <w:rPr>
          <w:spacing w:val="42"/>
        </w:rPr>
        <w:t xml:space="preserve"> </w:t>
      </w:r>
      <w:r>
        <w:t>y</w:t>
      </w:r>
      <w:r>
        <w:rPr>
          <w:spacing w:val="43"/>
        </w:rPr>
        <w:t xml:space="preserve"> </w:t>
      </w:r>
      <w:r>
        <w:t>variados,</w:t>
      </w:r>
      <w:r>
        <w:rPr>
          <w:spacing w:val="44"/>
        </w:rPr>
        <w:t xml:space="preserve"> </w:t>
      </w:r>
      <w:r>
        <w:t>los</w:t>
      </w:r>
      <w:r>
        <w:rPr>
          <w:spacing w:val="45"/>
        </w:rPr>
        <w:t xml:space="preserve"> </w:t>
      </w:r>
      <w:r>
        <w:t>que</w:t>
      </w:r>
      <w:r>
        <w:rPr>
          <w:spacing w:val="43"/>
        </w:rPr>
        <w:t xml:space="preserve"> </w:t>
      </w:r>
      <w:r>
        <w:t>el</w:t>
      </w:r>
      <w:r>
        <w:rPr>
          <w:spacing w:val="43"/>
        </w:rPr>
        <w:t xml:space="preserve"> </w:t>
      </w:r>
      <w:r>
        <w:t>mismo</w:t>
      </w:r>
      <w:r>
        <w:rPr>
          <w:spacing w:val="41"/>
        </w:rPr>
        <w:t xml:space="preserve"> </w:t>
      </w:r>
      <w:r>
        <w:t>recurrente</w:t>
      </w:r>
      <w:r>
        <w:rPr>
          <w:spacing w:val="45"/>
        </w:rPr>
        <w:t xml:space="preserve"> </w:t>
      </w:r>
      <w:r>
        <w:t>detalla</w:t>
      </w:r>
      <w:r>
        <w:rPr>
          <w:spacing w:val="41"/>
        </w:rPr>
        <w:t xml:space="preserve"> </w:t>
      </w:r>
      <w:r>
        <w:t>en</w:t>
      </w:r>
      <w:r>
        <w:rPr>
          <w:spacing w:val="45"/>
        </w:rPr>
        <w:t xml:space="preserve"> </w:t>
      </w:r>
      <w:r>
        <w:t>su</w:t>
      </w:r>
      <w:r>
        <w:rPr>
          <w:spacing w:val="43"/>
        </w:rPr>
        <w:t xml:space="preserve"> </w:t>
      </w:r>
      <w:r>
        <w:t>presentación</w:t>
      </w:r>
      <w:r>
        <w:rPr>
          <w:spacing w:val="45"/>
        </w:rPr>
        <w:t xml:space="preserve"> </w:t>
      </w:r>
      <w:r>
        <w:rPr>
          <w:spacing w:val="-10"/>
        </w:rPr>
        <w:t>y</w:t>
      </w:r>
    </w:p>
    <w:p w14:paraId="622D0232" w14:textId="77777777" w:rsidR="00DA6B70" w:rsidRDefault="00DA6B70">
      <w:pPr>
        <w:pStyle w:val="Textoindependiente"/>
        <w:spacing w:line="480" w:lineRule="auto"/>
        <w:jc w:val="both"/>
        <w:sectPr w:rsidR="00DA6B70">
          <w:pgSz w:w="12240" w:h="15840"/>
          <w:pgMar w:top="1340" w:right="0" w:bottom="960" w:left="1440" w:header="0" w:footer="760" w:gutter="0"/>
          <w:cols w:space="720"/>
        </w:sectPr>
      </w:pPr>
    </w:p>
    <w:p w14:paraId="73BA2A3D" w14:textId="77777777" w:rsidR="00DA6B70" w:rsidRDefault="0026203F">
      <w:pPr>
        <w:pStyle w:val="Textoindependiente"/>
        <w:spacing w:before="77" w:line="480" w:lineRule="auto"/>
        <w:ind w:left="264" w:right="1713"/>
        <w:jc w:val="both"/>
      </w:pPr>
      <w:r>
        <w:lastRenderedPageBreak/>
        <w:t>constan</w:t>
      </w:r>
      <w:r>
        <w:rPr>
          <w:spacing w:val="-8"/>
        </w:rPr>
        <w:t xml:space="preserve"> </w:t>
      </w:r>
      <w:r>
        <w:t>del</w:t>
      </w:r>
      <w:r>
        <w:rPr>
          <w:spacing w:val="-7"/>
        </w:rPr>
        <w:t xml:space="preserve"> </w:t>
      </w:r>
      <w:r>
        <w:t>pronunciamiento</w:t>
      </w:r>
      <w:r>
        <w:rPr>
          <w:spacing w:val="-8"/>
        </w:rPr>
        <w:t xml:space="preserve"> </w:t>
      </w:r>
      <w:r>
        <w:t>cuestionado,</w:t>
      </w:r>
      <w:r>
        <w:rPr>
          <w:spacing w:val="-6"/>
        </w:rPr>
        <w:t xml:space="preserve"> </w:t>
      </w:r>
      <w:r>
        <w:t>que</w:t>
      </w:r>
      <w:r>
        <w:rPr>
          <w:spacing w:val="-8"/>
        </w:rPr>
        <w:t xml:space="preserve"> </w:t>
      </w:r>
      <w:r>
        <w:t>permitían</w:t>
      </w:r>
      <w:r>
        <w:rPr>
          <w:spacing w:val="-7"/>
        </w:rPr>
        <w:t xml:space="preserve"> </w:t>
      </w:r>
      <w:r>
        <w:t>razonablemente</w:t>
      </w:r>
      <w:r>
        <w:rPr>
          <w:spacing w:val="-8"/>
        </w:rPr>
        <w:t xml:space="preserve"> </w:t>
      </w:r>
      <w:r>
        <w:t>proceder a la dictación de aquella.</w:t>
      </w:r>
    </w:p>
    <w:p w14:paraId="47F3683C" w14:textId="77777777" w:rsidR="00DA6B70" w:rsidRDefault="0026203F">
      <w:pPr>
        <w:pStyle w:val="Textoindependiente"/>
        <w:spacing w:line="480" w:lineRule="auto"/>
        <w:ind w:left="264" w:right="1707" w:firstLine="708"/>
        <w:jc w:val="both"/>
      </w:pPr>
      <w:r>
        <w:t>Por ello, con tales antecedentes, adecuadamente ponderados en la etapa procesal en que las resoluciones se expidieron, no puede sostenerse la existencia de un error injustificado o arbitrario al concluirse del modo que se hizo al decretarse la prisión en contra del Sr. Muñoz Jorquera.</w:t>
      </w:r>
    </w:p>
    <w:p w14:paraId="5FF2AC39" w14:textId="77777777" w:rsidR="00DA6B70" w:rsidRDefault="0026203F">
      <w:pPr>
        <w:pStyle w:val="Textoindependiente"/>
        <w:spacing w:line="480" w:lineRule="auto"/>
        <w:ind w:left="264" w:right="1707" w:firstLine="708"/>
        <w:jc w:val="both"/>
      </w:pPr>
      <w:r>
        <w:rPr>
          <w:rFonts w:ascii="Arial" w:hAnsi="Arial"/>
          <w:b/>
        </w:rPr>
        <w:t xml:space="preserve">Undécimo: </w:t>
      </w:r>
      <w:r>
        <w:t>Que se debe tener en consideración, además, la especial controversia que planteó la discusión de la responsabilidad penal del enjuiciado, pues no se trata de un caso en que se discuta la ocurrencia de la acción típica, pues de lo manifestado por ambas partes y lo consignado en la sentencia absolutoria, resultó claro que los hechos, referidos a la muerte de una persona y a la participación del acusado en la misma a través de la utilización de un arma de fuego, no fueron discutidos. De este modo, la controver</w:t>
      </w:r>
      <w:r>
        <w:t>sia planteaba dudas respecto de la configuración o no de una causal de exculpación como la legítima defensa, las que, atendida la dinámica de los hechos que en definitiva se estimaron probados por el tribunal del grado, solo podía ser resueltas en el marco de un juicio oral.</w:t>
      </w:r>
    </w:p>
    <w:p w14:paraId="7BC5EC28" w14:textId="77777777" w:rsidR="00DA6B70" w:rsidRDefault="0026203F">
      <w:pPr>
        <w:pStyle w:val="Textoindependiente"/>
        <w:spacing w:line="480" w:lineRule="auto"/>
        <w:ind w:left="264" w:right="1710" w:firstLine="708"/>
        <w:jc w:val="both"/>
      </w:pPr>
      <w:r>
        <w:t>Como contrapartida, los requerimientos del artículo 140 del Código de Procedimiento Penal, que sirven de sustento a una resolución “eminentemente provisional”, son evidentemente diferentes y menos exigentes que aquellos que sirven de sustento a una sentencia, pues se trata de dos estadios procesales claramente diferenciados, que demandan estándares de prueba de entidad diversa, de manera que aún en el evento de que una resolución judicial pueda apreciarse</w:t>
      </w:r>
      <w:r>
        <w:rPr>
          <w:spacing w:val="80"/>
        </w:rPr>
        <w:t xml:space="preserve"> </w:t>
      </w:r>
      <w:r>
        <w:t>como</w:t>
      </w:r>
      <w:r>
        <w:rPr>
          <w:spacing w:val="80"/>
        </w:rPr>
        <w:t xml:space="preserve"> </w:t>
      </w:r>
      <w:r>
        <w:t>errónea,</w:t>
      </w:r>
      <w:r>
        <w:rPr>
          <w:spacing w:val="73"/>
          <w:w w:val="150"/>
        </w:rPr>
        <w:t xml:space="preserve"> </w:t>
      </w:r>
      <w:r>
        <w:t>desde</w:t>
      </w:r>
      <w:r>
        <w:rPr>
          <w:spacing w:val="80"/>
        </w:rPr>
        <w:t xml:space="preserve"> </w:t>
      </w:r>
      <w:r>
        <w:t>una</w:t>
      </w:r>
      <w:r>
        <w:rPr>
          <w:spacing w:val="80"/>
        </w:rPr>
        <w:t xml:space="preserve"> </w:t>
      </w:r>
      <w:r>
        <w:t>perspectiva</w:t>
      </w:r>
      <w:r>
        <w:rPr>
          <w:spacing w:val="80"/>
        </w:rPr>
        <w:t xml:space="preserve"> </w:t>
      </w:r>
      <w:r>
        <w:t>posterior,</w:t>
      </w:r>
      <w:r>
        <w:rPr>
          <w:spacing w:val="80"/>
        </w:rPr>
        <w:t xml:space="preserve"> </w:t>
      </w:r>
      <w:r>
        <w:t>distanciada</w:t>
      </w:r>
      <w:r>
        <w:rPr>
          <w:spacing w:val="80"/>
        </w:rPr>
        <w:t xml:space="preserve"> </w:t>
      </w:r>
      <w:r>
        <w:t>del</w:t>
      </w:r>
    </w:p>
    <w:p w14:paraId="7301B87C" w14:textId="77777777" w:rsidR="00DA6B70" w:rsidRDefault="00DA6B70">
      <w:pPr>
        <w:pStyle w:val="Textoindependiente"/>
        <w:spacing w:line="480" w:lineRule="auto"/>
        <w:jc w:val="both"/>
        <w:sectPr w:rsidR="00DA6B70">
          <w:pgSz w:w="12240" w:h="15840"/>
          <w:pgMar w:top="1340" w:right="0" w:bottom="960" w:left="1440" w:header="0" w:footer="760" w:gutter="0"/>
          <w:cols w:space="720"/>
        </w:sectPr>
      </w:pPr>
    </w:p>
    <w:p w14:paraId="240F53ED" w14:textId="77777777" w:rsidR="00DA6B70" w:rsidRDefault="0026203F">
      <w:pPr>
        <w:pStyle w:val="Textoindependiente"/>
        <w:spacing w:before="77" w:line="480" w:lineRule="auto"/>
        <w:ind w:left="264" w:right="1713"/>
        <w:jc w:val="both"/>
      </w:pPr>
      <w:r>
        <w:lastRenderedPageBreak/>
        <w:t xml:space="preserve">momento en que aquella se dictó, esta circunstancia no implica necesariamente que haya carecido de toda justificación, de fundamento racional y de motivo </w:t>
      </w:r>
      <w:r>
        <w:rPr>
          <w:spacing w:val="-2"/>
        </w:rPr>
        <w:t>plausible.</w:t>
      </w:r>
    </w:p>
    <w:p w14:paraId="7B136DB5" w14:textId="77777777" w:rsidR="00DA6B70" w:rsidRDefault="0026203F">
      <w:pPr>
        <w:pStyle w:val="Textoindependiente"/>
        <w:spacing w:line="480" w:lineRule="auto"/>
        <w:ind w:left="264" w:right="1707" w:firstLine="708"/>
        <w:jc w:val="both"/>
      </w:pPr>
      <w:r>
        <w:rPr>
          <w:rFonts w:ascii="Arial" w:hAnsi="Arial"/>
          <w:b/>
        </w:rPr>
        <w:t xml:space="preserve">Duodécimo: </w:t>
      </w:r>
      <w:r>
        <w:t>Que estos razonamientos llevan a concluir que la resolución que dispuso la medida cautelar de prisión preventiva que afectó al recurrente, no fue injustificadamente errónea ni arbitraria, de modo que no se satisfacen las condiciones que de acuerdo la Carta Fundamental hacen procedente la declaración que corresponde a esta Corte Suprema.</w:t>
      </w:r>
    </w:p>
    <w:p w14:paraId="3364A4F4" w14:textId="77777777" w:rsidR="00DA6B70" w:rsidRDefault="0026203F">
      <w:pPr>
        <w:pStyle w:val="Textoindependiente"/>
        <w:spacing w:line="480" w:lineRule="auto"/>
        <w:ind w:left="264" w:right="1713" w:firstLine="708"/>
        <w:jc w:val="both"/>
      </w:pPr>
      <w:r>
        <w:t>Por estas consideraciones, disposiciones legales citadas y de acuerdo, además, con lo prevenido en el Auto Acordado que sobre esta materia emitió este Tribunal el veinticuatro de mayo de mil novecientos noventa y seis, se declara:</w:t>
      </w:r>
    </w:p>
    <w:p w14:paraId="3718E335" w14:textId="77777777" w:rsidR="00DA6B70" w:rsidRDefault="0026203F">
      <w:pPr>
        <w:pStyle w:val="Textoindependiente"/>
        <w:spacing w:line="480" w:lineRule="auto"/>
        <w:ind w:left="264" w:right="1706" w:firstLine="708"/>
        <w:jc w:val="both"/>
      </w:pPr>
      <w:r>
        <w:t>I.- Que se rechaza la alegación de extemporaneidad de la acción opuesta por el Consejo de defensa del Estado.</w:t>
      </w:r>
    </w:p>
    <w:p w14:paraId="50D1356E" w14:textId="195DC43A" w:rsidR="00DA6B70" w:rsidRDefault="0026203F">
      <w:pPr>
        <w:pStyle w:val="Textoindependiente"/>
        <w:spacing w:line="480" w:lineRule="auto"/>
        <w:ind w:left="264" w:right="1709" w:firstLine="708"/>
        <w:jc w:val="both"/>
      </w:pPr>
      <w:r>
        <w:t xml:space="preserve">II.- Que </w:t>
      </w:r>
      <w:r>
        <w:rPr>
          <w:rFonts w:ascii="Arial" w:hAnsi="Arial"/>
          <w:b/>
        </w:rPr>
        <w:t xml:space="preserve">se rechaza </w:t>
      </w:r>
      <w:r>
        <w:t xml:space="preserve">la acción judicial de indemnización por error judicial formalizada en favor de don </w:t>
      </w:r>
      <w:r w:rsidR="008C53BD">
        <w:t>…………</w:t>
      </w:r>
      <w:proofErr w:type="gramStart"/>
      <w:r w:rsidR="008C53BD">
        <w:t>…….</w:t>
      </w:r>
      <w:proofErr w:type="gramEnd"/>
      <w:r>
        <w:t>.</w:t>
      </w:r>
    </w:p>
    <w:p w14:paraId="04FB9A40" w14:textId="77777777" w:rsidR="00DA6B70" w:rsidRDefault="0026203F">
      <w:pPr>
        <w:pStyle w:val="Textoindependiente"/>
        <w:spacing w:line="480" w:lineRule="auto"/>
        <w:ind w:left="264" w:right="1708" w:firstLine="708"/>
        <w:jc w:val="both"/>
      </w:pPr>
      <w:r>
        <w:t xml:space="preserve">Se </w:t>
      </w:r>
      <w:r>
        <w:rPr>
          <w:rFonts w:ascii="Arial" w:hAnsi="Arial"/>
          <w:b/>
        </w:rPr>
        <w:t>previene</w:t>
      </w:r>
      <w:r>
        <w:t xml:space="preserve">, que </w:t>
      </w:r>
      <w:proofErr w:type="gramStart"/>
      <w:r>
        <w:t>Ministra</w:t>
      </w:r>
      <w:proofErr w:type="gramEnd"/>
      <w:r>
        <w:t xml:space="preserve"> Sra. Gajardo estuvo por rechazar la acción, por estimar que la misma fue interpuesta de forma extemporánea, considerando que para la determinar si la acción fue interpuesta o no dentro del plazo fijado en el auto acordado que regula la materia, necesariamente, debe considerarse la notificación de </w:t>
      </w:r>
      <w:proofErr w:type="gramStart"/>
      <w:r>
        <w:t>la misma</w:t>
      </w:r>
      <w:proofErr w:type="gramEnd"/>
      <w:r>
        <w:t>, pues solo a partir de ese momento la acción pasa a existir para la contraparte. Estimarlo de otro modo, implicaría que pueden existir acciones interpuestas dentro de plazo, pero que son notificadas mucho</w:t>
      </w:r>
      <w:r>
        <w:t xml:space="preserve"> tiempo después de su interposición y aun así han cumplido con el requisito legal referido</w:t>
      </w:r>
    </w:p>
    <w:p w14:paraId="43594232" w14:textId="77777777" w:rsidR="00DA6B70" w:rsidRDefault="00DA6B70">
      <w:pPr>
        <w:pStyle w:val="Textoindependiente"/>
        <w:spacing w:line="480" w:lineRule="auto"/>
        <w:jc w:val="both"/>
        <w:sectPr w:rsidR="00DA6B70">
          <w:pgSz w:w="12240" w:h="15840"/>
          <w:pgMar w:top="1340" w:right="0" w:bottom="960" w:left="1440" w:header="0" w:footer="760" w:gutter="0"/>
          <w:cols w:space="720"/>
        </w:sectPr>
      </w:pPr>
    </w:p>
    <w:p w14:paraId="524D53CD" w14:textId="77777777" w:rsidR="00DA6B70" w:rsidRDefault="0026203F">
      <w:pPr>
        <w:pStyle w:val="Textoindependiente"/>
        <w:spacing w:before="77" w:line="480" w:lineRule="auto"/>
        <w:ind w:left="264" w:right="1721"/>
        <w:jc w:val="both"/>
      </w:pPr>
      <w:r>
        <w:lastRenderedPageBreak/>
        <w:t>al término en el que deben ser presentadas, lo que atenta contra la naturaleza de un procedimiento judicial contradictorio y la seguridad jurídica.</w:t>
      </w:r>
    </w:p>
    <w:p w14:paraId="7B94BEEE" w14:textId="77777777" w:rsidR="00DA6B70" w:rsidRDefault="0026203F">
      <w:pPr>
        <w:pStyle w:val="Textoindependiente"/>
        <w:spacing w:line="480" w:lineRule="auto"/>
        <w:ind w:left="971" w:right="7001"/>
      </w:pPr>
      <w:r>
        <w:t>Regístrese</w:t>
      </w:r>
      <w:r>
        <w:rPr>
          <w:spacing w:val="-17"/>
        </w:rPr>
        <w:t xml:space="preserve"> </w:t>
      </w:r>
      <w:r>
        <w:t>y</w:t>
      </w:r>
      <w:r>
        <w:rPr>
          <w:spacing w:val="-17"/>
        </w:rPr>
        <w:t xml:space="preserve"> </w:t>
      </w:r>
      <w:r>
        <w:t>archívese. Rol N°5611-2025</w:t>
      </w:r>
    </w:p>
    <w:p w14:paraId="146D9A0A" w14:textId="77777777" w:rsidR="00DA6B70" w:rsidRDefault="00DA6B70">
      <w:pPr>
        <w:pStyle w:val="Textoindependiente"/>
      </w:pPr>
    </w:p>
    <w:p w14:paraId="4BBB2290" w14:textId="77777777" w:rsidR="00DA6B70" w:rsidRDefault="00DA6B70">
      <w:pPr>
        <w:pStyle w:val="Textoindependiente"/>
      </w:pPr>
    </w:p>
    <w:p w14:paraId="6529B93D" w14:textId="77777777" w:rsidR="00DA6B70" w:rsidRDefault="0026203F">
      <w:pPr>
        <w:pStyle w:val="Textoindependiente"/>
        <w:spacing w:line="480" w:lineRule="auto"/>
        <w:ind w:left="264" w:right="1710"/>
        <w:jc w:val="both"/>
      </w:pPr>
      <w:r>
        <w:t xml:space="preserve">Pronunciado por la Segunda Sala de esta Corte Suprema integrada por </w:t>
      </w:r>
      <w:proofErr w:type="gramStart"/>
      <w:r>
        <w:t>Ministros</w:t>
      </w:r>
      <w:proofErr w:type="gramEnd"/>
      <w:r>
        <w:t xml:space="preserve"> Sr.</w:t>
      </w:r>
      <w:r>
        <w:rPr>
          <w:spacing w:val="-4"/>
        </w:rPr>
        <w:t xml:space="preserve"> </w:t>
      </w:r>
      <w:r>
        <w:t>Manuel</w:t>
      </w:r>
      <w:r>
        <w:rPr>
          <w:spacing w:val="-3"/>
        </w:rPr>
        <w:t xml:space="preserve"> </w:t>
      </w:r>
      <w:r>
        <w:t>Antonio</w:t>
      </w:r>
      <w:r>
        <w:rPr>
          <w:spacing w:val="-3"/>
        </w:rPr>
        <w:t xml:space="preserve"> </w:t>
      </w:r>
      <w:r>
        <w:t>Valderrama</w:t>
      </w:r>
      <w:r>
        <w:rPr>
          <w:spacing w:val="-3"/>
        </w:rPr>
        <w:t xml:space="preserve"> </w:t>
      </w:r>
      <w:r>
        <w:t>Rebolledo, Sra.</w:t>
      </w:r>
      <w:r>
        <w:rPr>
          <w:spacing w:val="-2"/>
        </w:rPr>
        <w:t xml:space="preserve"> </w:t>
      </w:r>
      <w:proofErr w:type="spellStart"/>
      <w:r>
        <w:t>Maria</w:t>
      </w:r>
      <w:proofErr w:type="spellEnd"/>
      <w:r>
        <w:rPr>
          <w:spacing w:val="-3"/>
        </w:rPr>
        <w:t xml:space="preserve"> </w:t>
      </w:r>
      <w:r>
        <w:t>Gajardo</w:t>
      </w:r>
      <w:r>
        <w:rPr>
          <w:spacing w:val="-1"/>
        </w:rPr>
        <w:t xml:space="preserve"> </w:t>
      </w:r>
      <w:r>
        <w:t>Harboe,</w:t>
      </w:r>
      <w:r>
        <w:rPr>
          <w:spacing w:val="-2"/>
        </w:rPr>
        <w:t xml:space="preserve"> </w:t>
      </w:r>
      <w:proofErr w:type="gramStart"/>
      <w:r>
        <w:t>Ministro</w:t>
      </w:r>
      <w:proofErr w:type="gramEnd"/>
      <w:r>
        <w:t>(S) Sr. Juan Cristóbal Mera Muñoz, Abogados Integrantes Sra. Rosa María Leonor Etcheberry Court, Sr. Juan Carlos Ferrada Bórquez.</w:t>
      </w:r>
    </w:p>
    <w:p w14:paraId="0CB44B94" w14:textId="77777777" w:rsidR="00DA6B70" w:rsidRDefault="00DA6B70">
      <w:pPr>
        <w:pStyle w:val="Textoindependiente"/>
        <w:spacing w:before="213"/>
        <w:rPr>
          <w:sz w:val="20"/>
        </w:rPr>
      </w:pPr>
    </w:p>
    <w:p w14:paraId="7BC42E40" w14:textId="77777777" w:rsidR="00DA6B70" w:rsidRDefault="00DA6B70">
      <w:pPr>
        <w:pStyle w:val="Textoindependiente"/>
        <w:rPr>
          <w:sz w:val="20"/>
        </w:rPr>
        <w:sectPr w:rsidR="00DA6B70">
          <w:pgSz w:w="12240" w:h="15840"/>
          <w:pgMar w:top="1340" w:right="0" w:bottom="960" w:left="1440" w:header="0" w:footer="760" w:gutter="0"/>
          <w:cols w:space="720"/>
        </w:sectPr>
      </w:pPr>
    </w:p>
    <w:p w14:paraId="302F4403" w14:textId="77777777" w:rsidR="00DA6B70" w:rsidRDefault="0026203F">
      <w:pPr>
        <w:pStyle w:val="Ttulo1"/>
        <w:spacing w:line="208" w:lineRule="auto"/>
      </w:pPr>
      <w:r>
        <w:t>MANUEL</w:t>
      </w:r>
      <w:r>
        <w:rPr>
          <w:spacing w:val="-17"/>
        </w:rPr>
        <w:t xml:space="preserve"> </w:t>
      </w:r>
      <w:r>
        <w:t>ANTONIO</w:t>
      </w:r>
      <w:r>
        <w:rPr>
          <w:spacing w:val="-17"/>
        </w:rPr>
        <w:t xml:space="preserve"> </w:t>
      </w:r>
      <w:r>
        <w:t xml:space="preserve">VALDERRAMA </w:t>
      </w:r>
      <w:r>
        <w:rPr>
          <w:spacing w:val="-2"/>
        </w:rPr>
        <w:t>REBOLLEDO</w:t>
      </w:r>
    </w:p>
    <w:p w14:paraId="2050FD2F" w14:textId="77777777" w:rsidR="00DA6B70" w:rsidRDefault="0026203F">
      <w:pPr>
        <w:spacing w:line="229" w:lineRule="exact"/>
        <w:ind w:left="240"/>
        <w:rPr>
          <w:sz w:val="24"/>
        </w:rPr>
      </w:pPr>
      <w:r>
        <w:rPr>
          <w:spacing w:val="-2"/>
          <w:sz w:val="24"/>
        </w:rPr>
        <w:t>MINISTRO</w:t>
      </w:r>
    </w:p>
    <w:p w14:paraId="5E0DC299" w14:textId="77777777" w:rsidR="00DA6B70" w:rsidRDefault="0026203F">
      <w:pPr>
        <w:pStyle w:val="Textoindependiente"/>
        <w:spacing w:line="258" w:lineRule="exact"/>
        <w:ind w:left="240"/>
      </w:pPr>
      <w:r>
        <w:t xml:space="preserve">Fecha: 19/02/2026 </w:t>
      </w:r>
      <w:r>
        <w:rPr>
          <w:spacing w:val="-2"/>
        </w:rPr>
        <w:t>11:36:16</w:t>
      </w:r>
    </w:p>
    <w:p w14:paraId="50EF4F35" w14:textId="77777777" w:rsidR="00DA6B70" w:rsidRDefault="0026203F">
      <w:pPr>
        <w:pStyle w:val="Ttulo1"/>
        <w:spacing w:line="208" w:lineRule="auto"/>
        <w:ind w:right="1824"/>
      </w:pPr>
      <w:r>
        <w:br w:type="column"/>
      </w:r>
      <w:r>
        <w:t>MARIA</w:t>
      </w:r>
      <w:r>
        <w:rPr>
          <w:spacing w:val="-13"/>
        </w:rPr>
        <w:t xml:space="preserve"> </w:t>
      </w:r>
      <w:r>
        <w:t>CRISTINA</w:t>
      </w:r>
      <w:r>
        <w:rPr>
          <w:spacing w:val="-13"/>
        </w:rPr>
        <w:t xml:space="preserve"> </w:t>
      </w:r>
      <w:r>
        <w:t>GAJARDO</w:t>
      </w:r>
      <w:r>
        <w:rPr>
          <w:spacing w:val="-13"/>
        </w:rPr>
        <w:t xml:space="preserve"> </w:t>
      </w:r>
      <w:r>
        <w:t xml:space="preserve">HARBOE </w:t>
      </w:r>
      <w:r>
        <w:rPr>
          <w:spacing w:val="-2"/>
        </w:rPr>
        <w:t>MINISTRA</w:t>
      </w:r>
    </w:p>
    <w:p w14:paraId="07BE861D" w14:textId="77777777" w:rsidR="00DA6B70" w:rsidRDefault="0026203F">
      <w:pPr>
        <w:pStyle w:val="Textoindependiente"/>
        <w:spacing w:line="247" w:lineRule="exact"/>
        <w:ind w:left="240"/>
      </w:pPr>
      <w:r>
        <w:t xml:space="preserve">Fecha: 19/02/2026 </w:t>
      </w:r>
      <w:r>
        <w:rPr>
          <w:spacing w:val="-2"/>
        </w:rPr>
        <w:t>11:36:17</w:t>
      </w:r>
    </w:p>
    <w:p w14:paraId="332BC28E" w14:textId="77777777" w:rsidR="00DA6B70" w:rsidRDefault="00DA6B70">
      <w:pPr>
        <w:pStyle w:val="Textoindependiente"/>
        <w:spacing w:line="247" w:lineRule="exact"/>
        <w:sectPr w:rsidR="00DA6B70">
          <w:type w:val="continuous"/>
          <w:pgSz w:w="12240" w:h="15840"/>
          <w:pgMar w:top="1340" w:right="0" w:bottom="960" w:left="1440" w:header="0" w:footer="760" w:gutter="0"/>
          <w:cols w:num="2" w:space="720" w:equalWidth="0">
            <w:col w:w="4161" w:space="319"/>
            <w:col w:w="6320"/>
          </w:cols>
        </w:sectPr>
      </w:pPr>
    </w:p>
    <w:p w14:paraId="30D38805" w14:textId="77777777" w:rsidR="00DA6B70" w:rsidRDefault="00DA6B70">
      <w:pPr>
        <w:pStyle w:val="Textoindependiente"/>
        <w:rPr>
          <w:sz w:val="20"/>
        </w:rPr>
      </w:pPr>
    </w:p>
    <w:p w14:paraId="3E15F7C4" w14:textId="77777777" w:rsidR="00DA6B70" w:rsidRDefault="00DA6B70">
      <w:pPr>
        <w:pStyle w:val="Textoindependiente"/>
        <w:rPr>
          <w:sz w:val="20"/>
        </w:rPr>
      </w:pPr>
    </w:p>
    <w:p w14:paraId="6BCEECC6" w14:textId="77777777" w:rsidR="00DA6B70" w:rsidRDefault="00DA6B70">
      <w:pPr>
        <w:pStyle w:val="Textoindependiente"/>
        <w:rPr>
          <w:sz w:val="20"/>
        </w:rPr>
      </w:pPr>
    </w:p>
    <w:p w14:paraId="7C5E4836" w14:textId="77777777" w:rsidR="00DA6B70" w:rsidRDefault="00DA6B70">
      <w:pPr>
        <w:pStyle w:val="Textoindependiente"/>
        <w:rPr>
          <w:sz w:val="20"/>
        </w:rPr>
      </w:pPr>
    </w:p>
    <w:p w14:paraId="48052931" w14:textId="77777777" w:rsidR="00DA6B70" w:rsidRDefault="00DA6B70">
      <w:pPr>
        <w:pStyle w:val="Textoindependiente"/>
        <w:rPr>
          <w:sz w:val="20"/>
        </w:rPr>
      </w:pPr>
    </w:p>
    <w:p w14:paraId="090A1419" w14:textId="77777777" w:rsidR="00DA6B70" w:rsidRDefault="00DA6B70">
      <w:pPr>
        <w:pStyle w:val="Textoindependiente"/>
        <w:spacing w:before="32"/>
        <w:rPr>
          <w:sz w:val="20"/>
        </w:rPr>
      </w:pPr>
    </w:p>
    <w:p w14:paraId="62B1A7A5" w14:textId="77777777" w:rsidR="00DA6B70" w:rsidRDefault="00DA6B70">
      <w:pPr>
        <w:pStyle w:val="Textoindependiente"/>
        <w:rPr>
          <w:sz w:val="20"/>
        </w:rPr>
        <w:sectPr w:rsidR="00DA6B70">
          <w:type w:val="continuous"/>
          <w:pgSz w:w="12240" w:h="15840"/>
          <w:pgMar w:top="1340" w:right="0" w:bottom="960" w:left="1440" w:header="0" w:footer="760" w:gutter="0"/>
          <w:cols w:space="720"/>
        </w:sectPr>
      </w:pPr>
    </w:p>
    <w:p w14:paraId="5479575B" w14:textId="77777777" w:rsidR="00DA6B70" w:rsidRDefault="0026203F">
      <w:pPr>
        <w:pStyle w:val="Ttulo1"/>
        <w:spacing w:before="122" w:line="208" w:lineRule="auto"/>
      </w:pPr>
      <w:r>
        <w:t>JUAN</w:t>
      </w:r>
      <w:r>
        <w:rPr>
          <w:spacing w:val="-13"/>
        </w:rPr>
        <w:t xml:space="preserve"> </w:t>
      </w:r>
      <w:r>
        <w:t>CRISTOBAL</w:t>
      </w:r>
      <w:r>
        <w:rPr>
          <w:spacing w:val="-13"/>
        </w:rPr>
        <w:t xml:space="preserve"> </w:t>
      </w:r>
      <w:r>
        <w:t>MERA</w:t>
      </w:r>
      <w:r>
        <w:rPr>
          <w:spacing w:val="-13"/>
        </w:rPr>
        <w:t xml:space="preserve"> </w:t>
      </w:r>
      <w:r>
        <w:t xml:space="preserve">MUÑOZ </w:t>
      </w:r>
      <w:r>
        <w:rPr>
          <w:spacing w:val="-2"/>
        </w:rPr>
        <w:t>MINISTRO(S)</w:t>
      </w:r>
    </w:p>
    <w:p w14:paraId="4E1925E9" w14:textId="77777777" w:rsidR="00DA6B70" w:rsidRDefault="0026203F">
      <w:pPr>
        <w:pStyle w:val="Textoindependiente"/>
        <w:spacing w:line="247" w:lineRule="exact"/>
        <w:ind w:left="240"/>
      </w:pPr>
      <w:r>
        <w:t xml:space="preserve">Fecha: 19/02/2026 </w:t>
      </w:r>
      <w:r>
        <w:rPr>
          <w:spacing w:val="-2"/>
        </w:rPr>
        <w:t>11:36:18</w:t>
      </w:r>
    </w:p>
    <w:p w14:paraId="35D02C0B" w14:textId="77777777" w:rsidR="00DA6B70" w:rsidRDefault="0026203F">
      <w:pPr>
        <w:pStyle w:val="Ttulo1"/>
        <w:spacing w:before="122" w:line="208" w:lineRule="auto"/>
        <w:ind w:right="1001"/>
      </w:pPr>
      <w:r>
        <w:br w:type="column"/>
      </w:r>
      <w:r>
        <w:t>ROSA</w:t>
      </w:r>
      <w:r>
        <w:rPr>
          <w:spacing w:val="-13"/>
        </w:rPr>
        <w:t xml:space="preserve"> </w:t>
      </w:r>
      <w:r>
        <w:t>MARIA</w:t>
      </w:r>
      <w:r>
        <w:rPr>
          <w:spacing w:val="-13"/>
        </w:rPr>
        <w:t xml:space="preserve"> </w:t>
      </w:r>
      <w:r>
        <w:t>LEONOR</w:t>
      </w:r>
      <w:r>
        <w:rPr>
          <w:spacing w:val="-13"/>
        </w:rPr>
        <w:t xml:space="preserve"> </w:t>
      </w:r>
      <w:r>
        <w:t xml:space="preserve">ETCHEBERRY </w:t>
      </w:r>
      <w:r>
        <w:rPr>
          <w:spacing w:val="-2"/>
        </w:rPr>
        <w:t>COURT</w:t>
      </w:r>
    </w:p>
    <w:p w14:paraId="0E367804" w14:textId="77777777" w:rsidR="00DA6B70" w:rsidRDefault="0026203F">
      <w:pPr>
        <w:pStyle w:val="Textoindependiente"/>
        <w:spacing w:line="208" w:lineRule="auto"/>
        <w:ind w:left="240" w:right="2539"/>
      </w:pPr>
      <w:r>
        <w:t>ABOGADO INTEGRANTE Fecha:</w:t>
      </w:r>
      <w:r>
        <w:rPr>
          <w:spacing w:val="-17"/>
        </w:rPr>
        <w:t xml:space="preserve"> </w:t>
      </w:r>
      <w:r>
        <w:t>19/02/2026</w:t>
      </w:r>
      <w:r>
        <w:rPr>
          <w:spacing w:val="-17"/>
        </w:rPr>
        <w:t xml:space="preserve"> </w:t>
      </w:r>
      <w:r>
        <w:t>12:52:07</w:t>
      </w:r>
    </w:p>
    <w:p w14:paraId="5AA6F902" w14:textId="77777777" w:rsidR="00DA6B70" w:rsidRDefault="00DA6B70">
      <w:pPr>
        <w:pStyle w:val="Textoindependiente"/>
        <w:spacing w:line="208" w:lineRule="auto"/>
        <w:sectPr w:rsidR="00DA6B70">
          <w:type w:val="continuous"/>
          <w:pgSz w:w="12240" w:h="15840"/>
          <w:pgMar w:top="1340" w:right="0" w:bottom="960" w:left="1440" w:header="0" w:footer="760" w:gutter="0"/>
          <w:cols w:num="2" w:space="720" w:equalWidth="0">
            <w:col w:w="4041" w:space="439"/>
            <w:col w:w="6320"/>
          </w:cols>
        </w:sectPr>
      </w:pPr>
    </w:p>
    <w:p w14:paraId="52ABAD79" w14:textId="77777777" w:rsidR="00DA6B70" w:rsidRDefault="00DA6B70">
      <w:pPr>
        <w:pStyle w:val="Textoindependiente"/>
      </w:pPr>
    </w:p>
    <w:p w14:paraId="1F2ADC71" w14:textId="77777777" w:rsidR="00DA6B70" w:rsidRDefault="00DA6B70">
      <w:pPr>
        <w:pStyle w:val="Textoindependiente"/>
      </w:pPr>
    </w:p>
    <w:p w14:paraId="4A579A97" w14:textId="77777777" w:rsidR="00DA6B70" w:rsidRDefault="00DA6B70">
      <w:pPr>
        <w:pStyle w:val="Textoindependiente"/>
      </w:pPr>
    </w:p>
    <w:p w14:paraId="1DD26DE5" w14:textId="77777777" w:rsidR="00DA6B70" w:rsidRDefault="00DA6B70">
      <w:pPr>
        <w:pStyle w:val="Textoindependiente"/>
      </w:pPr>
    </w:p>
    <w:p w14:paraId="2CCEB845" w14:textId="77777777" w:rsidR="00DA6B70" w:rsidRDefault="00DA6B70">
      <w:pPr>
        <w:pStyle w:val="Textoindependiente"/>
        <w:spacing w:before="159"/>
      </w:pPr>
    </w:p>
    <w:p w14:paraId="117FECE3" w14:textId="77777777" w:rsidR="00DA6B70" w:rsidRDefault="0026203F">
      <w:pPr>
        <w:pStyle w:val="Ttulo1"/>
        <w:spacing w:before="1" w:line="208" w:lineRule="auto"/>
        <w:ind w:right="5258"/>
      </w:pPr>
      <w:r>
        <w:t>JUAN</w:t>
      </w:r>
      <w:r>
        <w:rPr>
          <w:spacing w:val="-13"/>
        </w:rPr>
        <w:t xml:space="preserve"> </w:t>
      </w:r>
      <w:r>
        <w:t>CARLOS</w:t>
      </w:r>
      <w:r>
        <w:rPr>
          <w:spacing w:val="-13"/>
        </w:rPr>
        <w:t xml:space="preserve"> </w:t>
      </w:r>
      <w:r>
        <w:t>FERRADA</w:t>
      </w:r>
      <w:r>
        <w:rPr>
          <w:spacing w:val="-13"/>
        </w:rPr>
        <w:t xml:space="preserve"> </w:t>
      </w:r>
      <w:r>
        <w:t>BORQUEZ ABOGADO INTEGRANTE</w:t>
      </w:r>
    </w:p>
    <w:p w14:paraId="73AF6E51" w14:textId="77777777" w:rsidR="00DA6B70" w:rsidRDefault="0026203F">
      <w:pPr>
        <w:pStyle w:val="Textoindependiente"/>
        <w:spacing w:line="247" w:lineRule="exact"/>
        <w:ind w:left="240"/>
      </w:pPr>
      <w:r>
        <w:t xml:space="preserve">Fecha: 19/02/2026 </w:t>
      </w:r>
      <w:r>
        <w:rPr>
          <w:spacing w:val="-2"/>
        </w:rPr>
        <w:t>12:59:02</w:t>
      </w:r>
    </w:p>
    <w:p w14:paraId="2C281FEC" w14:textId="77777777" w:rsidR="00DA6B70" w:rsidRDefault="00DA6B70">
      <w:pPr>
        <w:pStyle w:val="Textoindependiente"/>
        <w:spacing w:line="247" w:lineRule="exact"/>
        <w:sectPr w:rsidR="00DA6B70">
          <w:type w:val="continuous"/>
          <w:pgSz w:w="12240" w:h="15840"/>
          <w:pgMar w:top="1340" w:right="0" w:bottom="960" w:left="1440" w:header="0" w:footer="760" w:gutter="0"/>
          <w:cols w:space="720"/>
        </w:sectPr>
      </w:pPr>
    </w:p>
    <w:p w14:paraId="1A5D7C60" w14:textId="77777777" w:rsidR="00DA6B70" w:rsidRDefault="0026203F">
      <w:pPr>
        <w:pStyle w:val="Textoindependiente"/>
        <w:spacing w:before="75" w:line="261" w:lineRule="auto"/>
        <w:ind w:left="560" w:right="1561"/>
      </w:pPr>
      <w:r>
        <w:lastRenderedPageBreak/>
        <w:t>En Santiago, a diecinueve de febrero de dos mil veintiséis, se incluyó en el</w:t>
      </w:r>
      <w:r>
        <w:rPr>
          <w:spacing w:val="40"/>
        </w:rPr>
        <w:t xml:space="preserve"> </w:t>
      </w:r>
      <w:r>
        <w:t>Estado Diario la resolución precedente.</w:t>
      </w:r>
    </w:p>
    <w:p w14:paraId="0F7927F9" w14:textId="77777777" w:rsidR="00DA6B70" w:rsidRDefault="00DA6B70">
      <w:pPr>
        <w:pStyle w:val="Textoindependiente"/>
        <w:rPr>
          <w:sz w:val="20"/>
        </w:rPr>
      </w:pPr>
    </w:p>
    <w:p w14:paraId="35FF3EAB" w14:textId="77777777" w:rsidR="00DA6B70" w:rsidRDefault="00DA6B70">
      <w:pPr>
        <w:pStyle w:val="Textoindependiente"/>
        <w:rPr>
          <w:sz w:val="20"/>
        </w:rPr>
      </w:pPr>
    </w:p>
    <w:p w14:paraId="1C13FD57" w14:textId="77777777" w:rsidR="00DA6B70" w:rsidRDefault="00DA6B70">
      <w:pPr>
        <w:pStyle w:val="Textoindependiente"/>
        <w:rPr>
          <w:sz w:val="20"/>
        </w:rPr>
      </w:pPr>
    </w:p>
    <w:p w14:paraId="45EAB691" w14:textId="77777777" w:rsidR="00DA6B70" w:rsidRDefault="00DA6B70">
      <w:pPr>
        <w:pStyle w:val="Textoindependiente"/>
        <w:rPr>
          <w:sz w:val="20"/>
        </w:rPr>
      </w:pPr>
    </w:p>
    <w:p w14:paraId="586AA8D9" w14:textId="77777777" w:rsidR="00DA6B70" w:rsidRDefault="00DA6B70">
      <w:pPr>
        <w:pStyle w:val="Textoindependiente"/>
        <w:rPr>
          <w:sz w:val="20"/>
        </w:rPr>
      </w:pPr>
    </w:p>
    <w:p w14:paraId="0EDC7450" w14:textId="77777777" w:rsidR="00DA6B70" w:rsidRDefault="00DA6B70">
      <w:pPr>
        <w:pStyle w:val="Textoindependiente"/>
        <w:rPr>
          <w:sz w:val="20"/>
        </w:rPr>
      </w:pPr>
    </w:p>
    <w:p w14:paraId="3A66CE9F" w14:textId="77777777" w:rsidR="00DA6B70" w:rsidRDefault="00DA6B70">
      <w:pPr>
        <w:pStyle w:val="Textoindependiente"/>
        <w:rPr>
          <w:sz w:val="20"/>
        </w:rPr>
      </w:pPr>
    </w:p>
    <w:p w14:paraId="15116E06" w14:textId="77777777" w:rsidR="00DA6B70" w:rsidRDefault="00DA6B70">
      <w:pPr>
        <w:pStyle w:val="Textoindependiente"/>
        <w:rPr>
          <w:sz w:val="20"/>
        </w:rPr>
      </w:pPr>
    </w:p>
    <w:p w14:paraId="58B6A1DD" w14:textId="77777777" w:rsidR="00DA6B70" w:rsidRDefault="00DA6B70">
      <w:pPr>
        <w:pStyle w:val="Textoindependiente"/>
        <w:rPr>
          <w:sz w:val="20"/>
        </w:rPr>
      </w:pPr>
    </w:p>
    <w:p w14:paraId="716C7246" w14:textId="77777777" w:rsidR="00DA6B70" w:rsidRDefault="00DA6B70">
      <w:pPr>
        <w:pStyle w:val="Textoindependiente"/>
        <w:rPr>
          <w:sz w:val="20"/>
        </w:rPr>
      </w:pPr>
    </w:p>
    <w:p w14:paraId="6868E336" w14:textId="77777777" w:rsidR="00DA6B70" w:rsidRDefault="00DA6B70">
      <w:pPr>
        <w:pStyle w:val="Textoindependiente"/>
        <w:rPr>
          <w:sz w:val="20"/>
        </w:rPr>
      </w:pPr>
    </w:p>
    <w:p w14:paraId="1AE16B28" w14:textId="77777777" w:rsidR="00DA6B70" w:rsidRDefault="00DA6B70">
      <w:pPr>
        <w:pStyle w:val="Textoindependiente"/>
        <w:rPr>
          <w:sz w:val="20"/>
        </w:rPr>
      </w:pPr>
    </w:p>
    <w:p w14:paraId="54D89D85" w14:textId="77777777" w:rsidR="00DA6B70" w:rsidRDefault="00DA6B70">
      <w:pPr>
        <w:pStyle w:val="Textoindependiente"/>
        <w:rPr>
          <w:sz w:val="20"/>
        </w:rPr>
      </w:pPr>
    </w:p>
    <w:p w14:paraId="151FD5CE" w14:textId="77777777" w:rsidR="00DA6B70" w:rsidRDefault="00DA6B70">
      <w:pPr>
        <w:pStyle w:val="Textoindependiente"/>
        <w:rPr>
          <w:sz w:val="20"/>
        </w:rPr>
      </w:pPr>
    </w:p>
    <w:p w14:paraId="0159F530" w14:textId="77777777" w:rsidR="00DA6B70" w:rsidRDefault="00DA6B70">
      <w:pPr>
        <w:pStyle w:val="Textoindependiente"/>
        <w:rPr>
          <w:sz w:val="20"/>
        </w:rPr>
      </w:pPr>
    </w:p>
    <w:p w14:paraId="731FF280" w14:textId="77777777" w:rsidR="00DA6B70" w:rsidRDefault="00DA6B70">
      <w:pPr>
        <w:pStyle w:val="Textoindependiente"/>
        <w:rPr>
          <w:sz w:val="20"/>
        </w:rPr>
      </w:pPr>
    </w:p>
    <w:p w14:paraId="2BA6FDF5" w14:textId="77777777" w:rsidR="00DA6B70" w:rsidRDefault="00DA6B70">
      <w:pPr>
        <w:pStyle w:val="Textoindependiente"/>
        <w:rPr>
          <w:sz w:val="20"/>
        </w:rPr>
      </w:pPr>
    </w:p>
    <w:p w14:paraId="40695CC5" w14:textId="77777777" w:rsidR="00DA6B70" w:rsidRDefault="00DA6B70">
      <w:pPr>
        <w:pStyle w:val="Textoindependiente"/>
        <w:rPr>
          <w:sz w:val="20"/>
        </w:rPr>
      </w:pPr>
    </w:p>
    <w:p w14:paraId="2518D752" w14:textId="77777777" w:rsidR="00DA6B70" w:rsidRDefault="00DA6B70">
      <w:pPr>
        <w:pStyle w:val="Textoindependiente"/>
        <w:rPr>
          <w:sz w:val="20"/>
        </w:rPr>
      </w:pPr>
    </w:p>
    <w:p w14:paraId="450931E4" w14:textId="77777777" w:rsidR="00DA6B70" w:rsidRDefault="00DA6B70">
      <w:pPr>
        <w:pStyle w:val="Textoindependiente"/>
        <w:rPr>
          <w:sz w:val="20"/>
        </w:rPr>
      </w:pPr>
    </w:p>
    <w:p w14:paraId="0CCBCE26" w14:textId="77777777" w:rsidR="00DA6B70" w:rsidRDefault="00DA6B70">
      <w:pPr>
        <w:pStyle w:val="Textoindependiente"/>
        <w:rPr>
          <w:sz w:val="20"/>
        </w:rPr>
      </w:pPr>
    </w:p>
    <w:p w14:paraId="01B044E0" w14:textId="77777777" w:rsidR="00DA6B70" w:rsidRDefault="00DA6B70">
      <w:pPr>
        <w:pStyle w:val="Textoindependiente"/>
        <w:rPr>
          <w:sz w:val="20"/>
        </w:rPr>
      </w:pPr>
    </w:p>
    <w:p w14:paraId="624EFA46" w14:textId="77777777" w:rsidR="00DA6B70" w:rsidRDefault="00DA6B70">
      <w:pPr>
        <w:pStyle w:val="Textoindependiente"/>
        <w:rPr>
          <w:sz w:val="20"/>
        </w:rPr>
      </w:pPr>
    </w:p>
    <w:p w14:paraId="0AE4326A" w14:textId="77777777" w:rsidR="00DA6B70" w:rsidRDefault="00DA6B70">
      <w:pPr>
        <w:pStyle w:val="Textoindependiente"/>
        <w:rPr>
          <w:sz w:val="20"/>
        </w:rPr>
      </w:pPr>
    </w:p>
    <w:p w14:paraId="6F6ED4F6" w14:textId="77777777" w:rsidR="00DA6B70" w:rsidRDefault="00DA6B70">
      <w:pPr>
        <w:pStyle w:val="Textoindependiente"/>
        <w:rPr>
          <w:sz w:val="20"/>
        </w:rPr>
      </w:pPr>
    </w:p>
    <w:p w14:paraId="09ECD403" w14:textId="77777777" w:rsidR="00DA6B70" w:rsidRDefault="00DA6B70">
      <w:pPr>
        <w:pStyle w:val="Textoindependiente"/>
        <w:rPr>
          <w:sz w:val="20"/>
        </w:rPr>
      </w:pPr>
    </w:p>
    <w:p w14:paraId="5D8E2744" w14:textId="77777777" w:rsidR="00DA6B70" w:rsidRDefault="00DA6B70">
      <w:pPr>
        <w:pStyle w:val="Textoindependiente"/>
        <w:rPr>
          <w:sz w:val="20"/>
        </w:rPr>
      </w:pPr>
    </w:p>
    <w:p w14:paraId="3185540A" w14:textId="77777777" w:rsidR="00DA6B70" w:rsidRDefault="00DA6B70">
      <w:pPr>
        <w:pStyle w:val="Textoindependiente"/>
        <w:rPr>
          <w:sz w:val="20"/>
        </w:rPr>
      </w:pPr>
    </w:p>
    <w:p w14:paraId="62F5D288" w14:textId="77777777" w:rsidR="00DA6B70" w:rsidRDefault="00DA6B70">
      <w:pPr>
        <w:pStyle w:val="Textoindependiente"/>
        <w:rPr>
          <w:sz w:val="20"/>
        </w:rPr>
      </w:pPr>
    </w:p>
    <w:p w14:paraId="0B9A8F84" w14:textId="77777777" w:rsidR="00DA6B70" w:rsidRDefault="00DA6B70">
      <w:pPr>
        <w:pStyle w:val="Textoindependiente"/>
        <w:rPr>
          <w:sz w:val="20"/>
        </w:rPr>
      </w:pPr>
    </w:p>
    <w:p w14:paraId="438061D7" w14:textId="77777777" w:rsidR="00DA6B70" w:rsidRDefault="00DA6B70">
      <w:pPr>
        <w:pStyle w:val="Textoindependiente"/>
        <w:rPr>
          <w:sz w:val="20"/>
        </w:rPr>
      </w:pPr>
    </w:p>
    <w:p w14:paraId="2F36595C" w14:textId="77777777" w:rsidR="00DA6B70" w:rsidRDefault="00DA6B70">
      <w:pPr>
        <w:pStyle w:val="Textoindependiente"/>
        <w:rPr>
          <w:sz w:val="20"/>
        </w:rPr>
      </w:pPr>
    </w:p>
    <w:p w14:paraId="530EF99C" w14:textId="77777777" w:rsidR="00DA6B70" w:rsidRDefault="00DA6B70">
      <w:pPr>
        <w:pStyle w:val="Textoindependiente"/>
        <w:rPr>
          <w:sz w:val="20"/>
        </w:rPr>
      </w:pPr>
    </w:p>
    <w:p w14:paraId="008AB1B0" w14:textId="77777777" w:rsidR="00DA6B70" w:rsidRDefault="00DA6B70">
      <w:pPr>
        <w:pStyle w:val="Textoindependiente"/>
        <w:rPr>
          <w:sz w:val="20"/>
        </w:rPr>
      </w:pPr>
    </w:p>
    <w:p w14:paraId="63CF6282" w14:textId="77777777" w:rsidR="00DA6B70" w:rsidRDefault="00DA6B70">
      <w:pPr>
        <w:pStyle w:val="Textoindependiente"/>
        <w:rPr>
          <w:sz w:val="20"/>
        </w:rPr>
      </w:pPr>
    </w:p>
    <w:p w14:paraId="26031090" w14:textId="77777777" w:rsidR="00DA6B70" w:rsidRDefault="00DA6B70">
      <w:pPr>
        <w:pStyle w:val="Textoindependiente"/>
        <w:rPr>
          <w:sz w:val="20"/>
        </w:rPr>
      </w:pPr>
    </w:p>
    <w:p w14:paraId="5E9F2280" w14:textId="77777777" w:rsidR="00DA6B70" w:rsidRDefault="00DA6B70">
      <w:pPr>
        <w:pStyle w:val="Textoindependiente"/>
        <w:rPr>
          <w:sz w:val="20"/>
        </w:rPr>
      </w:pPr>
    </w:p>
    <w:p w14:paraId="19FB7F90" w14:textId="77777777" w:rsidR="00DA6B70" w:rsidRDefault="00DA6B70">
      <w:pPr>
        <w:pStyle w:val="Textoindependiente"/>
        <w:rPr>
          <w:sz w:val="20"/>
        </w:rPr>
      </w:pPr>
    </w:p>
    <w:p w14:paraId="605982D7" w14:textId="77777777" w:rsidR="00DA6B70" w:rsidRDefault="00DA6B70">
      <w:pPr>
        <w:pStyle w:val="Textoindependiente"/>
        <w:rPr>
          <w:sz w:val="20"/>
        </w:rPr>
      </w:pPr>
    </w:p>
    <w:p w14:paraId="64FD4F8A" w14:textId="77777777" w:rsidR="00DA6B70" w:rsidRDefault="00DA6B70">
      <w:pPr>
        <w:pStyle w:val="Textoindependiente"/>
        <w:rPr>
          <w:sz w:val="20"/>
        </w:rPr>
      </w:pPr>
    </w:p>
    <w:p w14:paraId="64E14E60" w14:textId="77777777" w:rsidR="00DA6B70" w:rsidRDefault="00DA6B70">
      <w:pPr>
        <w:pStyle w:val="Textoindependiente"/>
        <w:rPr>
          <w:sz w:val="20"/>
        </w:rPr>
      </w:pPr>
    </w:p>
    <w:p w14:paraId="3288B2A2" w14:textId="77777777" w:rsidR="00DA6B70" w:rsidRDefault="00DA6B70">
      <w:pPr>
        <w:pStyle w:val="Textoindependiente"/>
        <w:rPr>
          <w:sz w:val="20"/>
        </w:rPr>
      </w:pPr>
    </w:p>
    <w:p w14:paraId="4139D10F" w14:textId="77777777" w:rsidR="00DA6B70" w:rsidRDefault="00DA6B70">
      <w:pPr>
        <w:pStyle w:val="Textoindependiente"/>
        <w:rPr>
          <w:sz w:val="20"/>
        </w:rPr>
      </w:pPr>
    </w:p>
    <w:p w14:paraId="62160EFA" w14:textId="77777777" w:rsidR="00DA6B70" w:rsidRDefault="00DA6B70">
      <w:pPr>
        <w:pStyle w:val="Textoindependiente"/>
        <w:rPr>
          <w:sz w:val="20"/>
        </w:rPr>
      </w:pPr>
    </w:p>
    <w:p w14:paraId="0349878F" w14:textId="77777777" w:rsidR="00DA6B70" w:rsidRDefault="00DA6B70">
      <w:pPr>
        <w:pStyle w:val="Textoindependiente"/>
        <w:rPr>
          <w:sz w:val="20"/>
        </w:rPr>
      </w:pPr>
    </w:p>
    <w:p w14:paraId="36E21A4B" w14:textId="77777777" w:rsidR="00DA6B70" w:rsidRDefault="00DA6B70">
      <w:pPr>
        <w:pStyle w:val="Textoindependiente"/>
        <w:rPr>
          <w:sz w:val="20"/>
        </w:rPr>
      </w:pPr>
    </w:p>
    <w:p w14:paraId="1B178292" w14:textId="77777777" w:rsidR="00DA6B70" w:rsidRDefault="00DA6B70">
      <w:pPr>
        <w:pStyle w:val="Textoindependiente"/>
        <w:rPr>
          <w:sz w:val="20"/>
        </w:rPr>
      </w:pPr>
    </w:p>
    <w:p w14:paraId="6FF8E4EA" w14:textId="77777777" w:rsidR="00DA6B70" w:rsidRDefault="00DA6B70">
      <w:pPr>
        <w:pStyle w:val="Textoindependiente"/>
        <w:rPr>
          <w:sz w:val="20"/>
        </w:rPr>
      </w:pPr>
    </w:p>
    <w:p w14:paraId="3A72E8F5" w14:textId="77777777" w:rsidR="00DA6B70" w:rsidRDefault="00DA6B70">
      <w:pPr>
        <w:pStyle w:val="Textoindependiente"/>
        <w:rPr>
          <w:sz w:val="20"/>
        </w:rPr>
      </w:pPr>
    </w:p>
    <w:p w14:paraId="655FD3E5" w14:textId="77777777" w:rsidR="00DA6B70" w:rsidRDefault="00DA6B70">
      <w:pPr>
        <w:pStyle w:val="Textoindependiente"/>
        <w:rPr>
          <w:sz w:val="20"/>
        </w:rPr>
      </w:pPr>
    </w:p>
    <w:p w14:paraId="2850F0AE" w14:textId="77777777" w:rsidR="00DA6B70" w:rsidRDefault="00DA6B70">
      <w:pPr>
        <w:pStyle w:val="Textoindependiente"/>
        <w:rPr>
          <w:sz w:val="20"/>
        </w:rPr>
      </w:pPr>
    </w:p>
    <w:p w14:paraId="442DF9AF" w14:textId="77777777" w:rsidR="00DA6B70" w:rsidRDefault="00DA6B70">
      <w:pPr>
        <w:pStyle w:val="Textoindependiente"/>
        <w:rPr>
          <w:sz w:val="20"/>
        </w:rPr>
      </w:pPr>
    </w:p>
    <w:p w14:paraId="32D08A70" w14:textId="77777777" w:rsidR="00DA6B70" w:rsidRDefault="00DA6B70">
      <w:pPr>
        <w:pStyle w:val="Textoindependiente"/>
        <w:rPr>
          <w:sz w:val="20"/>
        </w:rPr>
      </w:pPr>
    </w:p>
    <w:p w14:paraId="055BB8B1" w14:textId="77777777" w:rsidR="00DA6B70" w:rsidRDefault="00DA6B70">
      <w:pPr>
        <w:pStyle w:val="Textoindependiente"/>
        <w:spacing w:before="101"/>
        <w:rPr>
          <w:sz w:val="20"/>
        </w:rPr>
      </w:pPr>
    </w:p>
    <w:p w14:paraId="2AC91526" w14:textId="77777777" w:rsidR="00DA6B70" w:rsidRDefault="00DA6B70">
      <w:pPr>
        <w:pStyle w:val="Textoindependiente"/>
        <w:rPr>
          <w:sz w:val="20"/>
        </w:rPr>
        <w:sectPr w:rsidR="00DA6B70">
          <w:footerReference w:type="default" r:id="rId8"/>
          <w:pgSz w:w="12240" w:h="15840"/>
          <w:pgMar w:top="1600" w:right="0" w:bottom="0" w:left="1440" w:header="0" w:footer="0" w:gutter="0"/>
          <w:cols w:space="720"/>
        </w:sectPr>
      </w:pPr>
    </w:p>
    <w:p w14:paraId="7F3D2B24" w14:textId="77777777" w:rsidR="00DA6B70" w:rsidRDefault="0026203F">
      <w:pPr>
        <w:spacing w:before="116" w:line="208" w:lineRule="auto"/>
        <w:ind w:left="2760"/>
        <w:jc w:val="both"/>
        <w:rPr>
          <w:sz w:val="18"/>
        </w:rPr>
      </w:pPr>
      <w:r>
        <w:rPr>
          <w:sz w:val="18"/>
        </w:rPr>
        <w:t>Este documento tiene firma electrónica y su original puede ser</w:t>
      </w:r>
      <w:r>
        <w:rPr>
          <w:spacing w:val="40"/>
          <w:sz w:val="18"/>
        </w:rPr>
        <w:t xml:space="preserve"> </w:t>
      </w:r>
      <w:r>
        <w:rPr>
          <w:sz w:val="18"/>
        </w:rPr>
        <w:t xml:space="preserve">validado en </w:t>
      </w:r>
      <w:hyperlink r:id="rId9">
        <w:r w:rsidR="00DA6B70">
          <w:rPr>
            <w:sz w:val="18"/>
          </w:rPr>
          <w:t>http://verificadoc.pjud.cl</w:t>
        </w:r>
      </w:hyperlink>
      <w:r>
        <w:rPr>
          <w:sz w:val="18"/>
        </w:rPr>
        <w:t xml:space="preserve"> o en la tramitación de</w:t>
      </w:r>
      <w:r>
        <w:rPr>
          <w:spacing w:val="40"/>
          <w:sz w:val="18"/>
        </w:rPr>
        <w:t xml:space="preserve"> </w:t>
      </w:r>
      <w:r>
        <w:rPr>
          <w:sz w:val="18"/>
        </w:rPr>
        <w:t>la causa. En aquellos</w:t>
      </w:r>
      <w:r>
        <w:rPr>
          <w:spacing w:val="40"/>
          <w:sz w:val="18"/>
        </w:rPr>
        <w:t xml:space="preserve"> </w:t>
      </w:r>
      <w:r>
        <w:rPr>
          <w:sz w:val="18"/>
        </w:rPr>
        <w:t>documentos</w:t>
      </w:r>
      <w:r>
        <w:rPr>
          <w:spacing w:val="40"/>
          <w:sz w:val="18"/>
        </w:rPr>
        <w:t xml:space="preserve"> </w:t>
      </w:r>
      <w:r>
        <w:rPr>
          <w:sz w:val="18"/>
        </w:rPr>
        <w:t>en</w:t>
      </w:r>
      <w:r>
        <w:rPr>
          <w:spacing w:val="40"/>
          <w:sz w:val="18"/>
        </w:rPr>
        <w:t xml:space="preserve"> </w:t>
      </w:r>
      <w:r>
        <w:rPr>
          <w:sz w:val="18"/>
        </w:rPr>
        <w:t>que</w:t>
      </w:r>
      <w:r>
        <w:rPr>
          <w:spacing w:val="40"/>
          <w:sz w:val="18"/>
        </w:rPr>
        <w:t xml:space="preserve"> </w:t>
      </w:r>
      <w:r>
        <w:rPr>
          <w:sz w:val="18"/>
        </w:rPr>
        <w:t>se visualiza la hora, esta corresponde al horario establecido para Chile Continental.</w:t>
      </w:r>
    </w:p>
    <w:p w14:paraId="68AD0A33" w14:textId="77777777" w:rsidR="00DA6B70" w:rsidRDefault="0026203F">
      <w:pPr>
        <w:spacing w:before="1" w:after="25"/>
        <w:rPr>
          <w:sz w:val="5"/>
        </w:rPr>
      </w:pPr>
      <w:r>
        <w:br w:type="column"/>
      </w:r>
    </w:p>
    <w:p w14:paraId="516D25C3" w14:textId="77777777" w:rsidR="00DA6B70" w:rsidRDefault="0026203F">
      <w:pPr>
        <w:pStyle w:val="Textoindependiente"/>
        <w:ind w:left="137"/>
        <w:rPr>
          <w:sz w:val="20"/>
        </w:rPr>
      </w:pPr>
      <w:r>
        <w:rPr>
          <w:noProof/>
          <w:sz w:val="20"/>
        </w:rPr>
        <w:drawing>
          <wp:inline distT="0" distB="0" distL="0" distR="0" wp14:anchorId="555824CE" wp14:editId="3188DC09">
            <wp:extent cx="1271587" cy="38147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271587" cy="381476"/>
                    </a:xfrm>
                    <a:prstGeom prst="rect">
                      <a:avLst/>
                    </a:prstGeom>
                  </pic:spPr>
                </pic:pic>
              </a:graphicData>
            </a:graphic>
          </wp:inline>
        </w:drawing>
      </w:r>
    </w:p>
    <w:p w14:paraId="634E7E82" w14:textId="77777777" w:rsidR="00DA6B70" w:rsidRDefault="0026203F">
      <w:pPr>
        <w:spacing w:before="9"/>
        <w:ind w:left="519"/>
        <w:rPr>
          <w:sz w:val="16"/>
        </w:rPr>
      </w:pPr>
      <w:r>
        <w:rPr>
          <w:spacing w:val="-2"/>
          <w:sz w:val="16"/>
        </w:rPr>
        <w:t>MHJXBVBQWJG</w:t>
      </w:r>
    </w:p>
    <w:sectPr w:rsidR="00DA6B70">
      <w:type w:val="continuous"/>
      <w:pgSz w:w="12240" w:h="15840"/>
      <w:pgMar w:top="1340" w:right="0" w:bottom="960" w:left="1440" w:header="0" w:footer="0" w:gutter="0"/>
      <w:cols w:num="2" w:space="720" w:equalWidth="0">
        <w:col w:w="8423" w:space="40"/>
        <w:col w:w="233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11707" w14:textId="77777777" w:rsidR="0026203F" w:rsidRDefault="0026203F">
      <w:r>
        <w:separator/>
      </w:r>
    </w:p>
  </w:endnote>
  <w:endnote w:type="continuationSeparator" w:id="0">
    <w:p w14:paraId="4E9CB58D" w14:textId="77777777" w:rsidR="0026203F" w:rsidRDefault="00262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DBB0E" w14:textId="77777777" w:rsidR="00DA6B70" w:rsidRDefault="0026203F">
    <w:pPr>
      <w:pStyle w:val="Textoindependiente"/>
      <w:spacing w:line="14" w:lineRule="auto"/>
      <w:rPr>
        <w:sz w:val="20"/>
      </w:rPr>
    </w:pPr>
    <w:r>
      <w:rPr>
        <w:noProof/>
        <w:sz w:val="20"/>
      </w:rPr>
      <w:drawing>
        <wp:anchor distT="0" distB="0" distL="0" distR="0" simplePos="0" relativeHeight="487484416" behindDoc="1" locked="0" layoutInCell="1" allowOverlap="1" wp14:anchorId="44D99915" wp14:editId="6AD28D0C">
          <wp:simplePos x="0" y="0"/>
          <wp:positionH relativeFrom="page">
            <wp:posOffset>6375400</wp:posOffset>
          </wp:positionH>
          <wp:positionV relativeFrom="page">
            <wp:posOffset>9448800</wp:posOffset>
          </wp:positionV>
          <wp:extent cx="1270000" cy="381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70000" cy="381000"/>
                  </a:xfrm>
                  <a:prstGeom prst="rect">
                    <a:avLst/>
                  </a:prstGeom>
                </pic:spPr>
              </pic:pic>
            </a:graphicData>
          </a:graphic>
        </wp:anchor>
      </w:drawing>
    </w:r>
    <w:r>
      <w:rPr>
        <w:noProof/>
        <w:sz w:val="20"/>
      </w:rPr>
      <mc:AlternateContent>
        <mc:Choice Requires="wps">
          <w:drawing>
            <wp:anchor distT="0" distB="0" distL="0" distR="0" simplePos="0" relativeHeight="487484928" behindDoc="1" locked="0" layoutInCell="1" allowOverlap="1" wp14:anchorId="2A79FE12" wp14:editId="2514C3FE">
              <wp:simplePos x="0" y="0"/>
              <wp:positionH relativeFrom="page">
                <wp:posOffset>6605396</wp:posOffset>
              </wp:positionH>
              <wp:positionV relativeFrom="page">
                <wp:posOffset>9826724</wp:posOffset>
              </wp:positionV>
              <wp:extent cx="810260"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0260" cy="139065"/>
                      </a:xfrm>
                      <a:prstGeom prst="rect">
                        <a:avLst/>
                      </a:prstGeom>
                    </wps:spPr>
                    <wps:txbx>
                      <w:txbxContent>
                        <w:p w14:paraId="28AFBDBE" w14:textId="77777777" w:rsidR="00DA6B70" w:rsidRDefault="0026203F">
                          <w:pPr>
                            <w:spacing w:before="14"/>
                            <w:ind w:left="20"/>
                            <w:rPr>
                              <w:sz w:val="16"/>
                            </w:rPr>
                          </w:pPr>
                          <w:r>
                            <w:rPr>
                              <w:spacing w:val="-2"/>
                              <w:sz w:val="16"/>
                            </w:rPr>
                            <w:t>MHJXBVBQWJG</w:t>
                          </w:r>
                        </w:p>
                      </w:txbxContent>
                    </wps:txbx>
                    <wps:bodyPr wrap="square" lIns="0" tIns="0" rIns="0" bIns="0" rtlCol="0">
                      <a:noAutofit/>
                    </wps:bodyPr>
                  </wps:wsp>
                </a:graphicData>
              </a:graphic>
            </wp:anchor>
          </w:drawing>
        </mc:Choice>
        <mc:Fallback>
          <w:pict>
            <v:shapetype w14:anchorId="2A79FE12" id="_x0000_t202" coordsize="21600,21600" o:spt="202" path="m,l,21600r21600,l21600,xe">
              <v:stroke joinstyle="miter"/>
              <v:path gradientshapeok="t" o:connecttype="rect"/>
            </v:shapetype>
            <v:shape id="Textbox 2" o:spid="_x0000_s1026" type="#_x0000_t202" style="position:absolute;margin-left:520.1pt;margin-top:773.75pt;width:63.8pt;height:10.95pt;z-index:-1583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" filled="f" stroked="f">
              <v:textbox inset="0,0,0,0">
                <w:txbxContent>
                  <w:p w14:paraId="28AFBDBE" w14:textId="77777777" w:rsidR="00DA6B70" w:rsidRDefault="0026203F">
                    <w:pPr>
                      <w:spacing w:before="14"/>
                      <w:ind w:left="20"/>
                      <w:rPr>
                        <w:sz w:val="16"/>
                      </w:rPr>
                    </w:pPr>
                    <w:r>
                      <w:rPr>
                        <w:spacing w:val="-2"/>
                        <w:sz w:val="16"/>
                      </w:rPr>
                      <w:t>MHJXBVBQWJG</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7634" w14:textId="77777777" w:rsidR="00DA6B70" w:rsidRDefault="00DA6B70">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2710E" w14:textId="77777777" w:rsidR="0026203F" w:rsidRDefault="0026203F">
      <w:r>
        <w:separator/>
      </w:r>
    </w:p>
  </w:footnote>
  <w:footnote w:type="continuationSeparator" w:id="0">
    <w:p w14:paraId="665F54F6" w14:textId="77777777" w:rsidR="0026203F" w:rsidRDefault="00262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D570D"/>
    <w:multiLevelType w:val="hybridMultilevel"/>
    <w:tmpl w:val="C6B22FF4"/>
    <w:lvl w:ilvl="0" w:tplc="3454EDD6">
      <w:start w:val="1"/>
      <w:numFmt w:val="lowerLetter"/>
      <w:lvlText w:val="%1)"/>
      <w:lvlJc w:val="left"/>
      <w:pPr>
        <w:ind w:left="264" w:hanging="708"/>
        <w:jc w:val="left"/>
      </w:pPr>
      <w:rPr>
        <w:rFonts w:ascii="Arial MT" w:eastAsia="Arial MT" w:hAnsi="Arial MT" w:cs="Arial MT" w:hint="default"/>
        <w:b w:val="0"/>
        <w:bCs w:val="0"/>
        <w:i w:val="0"/>
        <w:iCs w:val="0"/>
        <w:spacing w:val="-2"/>
        <w:w w:val="100"/>
        <w:sz w:val="24"/>
        <w:szCs w:val="24"/>
        <w:lang w:val="es-ES" w:eastAsia="en-US" w:bidi="ar-SA"/>
      </w:rPr>
    </w:lvl>
    <w:lvl w:ilvl="1" w:tplc="E2DEF798">
      <w:numFmt w:val="bullet"/>
      <w:lvlText w:val="•"/>
      <w:lvlJc w:val="left"/>
      <w:pPr>
        <w:ind w:left="1314" w:hanging="708"/>
      </w:pPr>
      <w:rPr>
        <w:rFonts w:hint="default"/>
        <w:lang w:val="es-ES" w:eastAsia="en-US" w:bidi="ar-SA"/>
      </w:rPr>
    </w:lvl>
    <w:lvl w:ilvl="2" w:tplc="407AD22C">
      <w:numFmt w:val="bullet"/>
      <w:lvlText w:val="•"/>
      <w:lvlJc w:val="left"/>
      <w:pPr>
        <w:ind w:left="2368" w:hanging="708"/>
      </w:pPr>
      <w:rPr>
        <w:rFonts w:hint="default"/>
        <w:lang w:val="es-ES" w:eastAsia="en-US" w:bidi="ar-SA"/>
      </w:rPr>
    </w:lvl>
    <w:lvl w:ilvl="3" w:tplc="6686819A">
      <w:numFmt w:val="bullet"/>
      <w:lvlText w:val="•"/>
      <w:lvlJc w:val="left"/>
      <w:pPr>
        <w:ind w:left="3422" w:hanging="708"/>
      </w:pPr>
      <w:rPr>
        <w:rFonts w:hint="default"/>
        <w:lang w:val="es-ES" w:eastAsia="en-US" w:bidi="ar-SA"/>
      </w:rPr>
    </w:lvl>
    <w:lvl w:ilvl="4" w:tplc="8CD0770C">
      <w:numFmt w:val="bullet"/>
      <w:lvlText w:val="•"/>
      <w:lvlJc w:val="left"/>
      <w:pPr>
        <w:ind w:left="4476" w:hanging="708"/>
      </w:pPr>
      <w:rPr>
        <w:rFonts w:hint="default"/>
        <w:lang w:val="es-ES" w:eastAsia="en-US" w:bidi="ar-SA"/>
      </w:rPr>
    </w:lvl>
    <w:lvl w:ilvl="5" w:tplc="811EEA9E">
      <w:numFmt w:val="bullet"/>
      <w:lvlText w:val="•"/>
      <w:lvlJc w:val="left"/>
      <w:pPr>
        <w:ind w:left="5530" w:hanging="708"/>
      </w:pPr>
      <w:rPr>
        <w:rFonts w:hint="default"/>
        <w:lang w:val="es-ES" w:eastAsia="en-US" w:bidi="ar-SA"/>
      </w:rPr>
    </w:lvl>
    <w:lvl w:ilvl="6" w:tplc="6226D5D2">
      <w:numFmt w:val="bullet"/>
      <w:lvlText w:val="•"/>
      <w:lvlJc w:val="left"/>
      <w:pPr>
        <w:ind w:left="6584" w:hanging="708"/>
      </w:pPr>
      <w:rPr>
        <w:rFonts w:hint="default"/>
        <w:lang w:val="es-ES" w:eastAsia="en-US" w:bidi="ar-SA"/>
      </w:rPr>
    </w:lvl>
    <w:lvl w:ilvl="7" w:tplc="768EC546">
      <w:numFmt w:val="bullet"/>
      <w:lvlText w:val="•"/>
      <w:lvlJc w:val="left"/>
      <w:pPr>
        <w:ind w:left="7638" w:hanging="708"/>
      </w:pPr>
      <w:rPr>
        <w:rFonts w:hint="default"/>
        <w:lang w:val="es-ES" w:eastAsia="en-US" w:bidi="ar-SA"/>
      </w:rPr>
    </w:lvl>
    <w:lvl w:ilvl="8" w:tplc="98883AA4">
      <w:numFmt w:val="bullet"/>
      <w:lvlText w:val="•"/>
      <w:lvlJc w:val="left"/>
      <w:pPr>
        <w:ind w:left="8692" w:hanging="708"/>
      </w:pPr>
      <w:rPr>
        <w:rFonts w:hint="default"/>
        <w:lang w:val="es-ES" w:eastAsia="en-US" w:bidi="ar-SA"/>
      </w:rPr>
    </w:lvl>
  </w:abstractNum>
  <w:num w:numId="1" w16cid:durableId="143356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B70"/>
    <w:rsid w:val="0026203F"/>
    <w:rsid w:val="0075383A"/>
    <w:rsid w:val="008C53BD"/>
    <w:rsid w:val="00AB2AF1"/>
    <w:rsid w:val="00B50DA6"/>
    <w:rsid w:val="00DA6B70"/>
    <w:rsid w:val="00E2315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DC6C5"/>
  <w15:docId w15:val="{00B87DD8-F966-4EA8-8279-8DAD6105F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spacing w:before="121"/>
      <w:ind w:left="240"/>
      <w:outlineLvl w:val="0"/>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Ttulo">
    <w:name w:val="Title"/>
    <w:basedOn w:val="Normal"/>
    <w:uiPriority w:val="10"/>
    <w:qFormat/>
    <w:pPr>
      <w:spacing w:before="276"/>
      <w:ind w:left="971"/>
    </w:pPr>
    <w:rPr>
      <w:rFonts w:ascii="Arial" w:eastAsia="Arial" w:hAnsi="Arial" w:cs="Arial"/>
      <w:b/>
      <w:bCs/>
      <w:sz w:val="24"/>
      <w:szCs w:val="24"/>
    </w:rPr>
  </w:style>
  <w:style w:type="paragraph" w:styleId="Prrafodelista">
    <w:name w:val="List Paragraph"/>
    <w:basedOn w:val="Normal"/>
    <w:uiPriority w:val="1"/>
    <w:qFormat/>
    <w:pPr>
      <w:ind w:left="264" w:hanging="707"/>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verificadoc.pjud.c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2575</Words>
  <Characters>13880</Characters>
  <Application>Microsoft Office Word</Application>
  <DocSecurity>0</DocSecurity>
  <Lines>334</Lines>
  <Paragraphs>59</Paragraphs>
  <ScaleCrop>false</ScaleCrop>
  <Company/>
  <LinksUpToDate>false</LinksUpToDate>
  <CharactersWithSpaces>16381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Sala02_cs</dc:creator>
  <cp:lastModifiedBy>Sandra Morgado</cp:lastModifiedBy>
  <cp:revision>3</cp:revision>
  <dcterms:created xsi:type="dcterms:W3CDTF">2026-02-25T03:23:00Z</dcterms:created>
  <dcterms:modified xsi:type="dcterms:W3CDTF">2026-02-25T03:23:00Z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2026-02-19T00:00:00Z</vt:filetime>
  </property>
  <property fmtid="{D5CDD505-2E9C-101B-9397-08002B2CF9AE}" pid="3" name="Creator">
    <vt:lpwstr>Writer</vt:lpwstr>
  </property>
  <property fmtid="{D5CDD505-2E9C-101B-9397-08002B2CF9AE}" pid="4" name="LastSaved">
    <vt:filetime>2026-02-25T00:00:00Z</vt:filetime>
  </property>
  <property fmtid="{D5CDD505-2E9C-101B-9397-08002B2CF9AE}" pid="5" name="Producer">
    <vt:lpwstr>OpenOffice.org 3.3; modified using iText® 5.5.0 ©2000-2013 iText Group NV (AGPL-version)</vt:lpwstr>
  </property>
</Properties>
</file>